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rPr>
      </w:pPr>
    </w:p>
    <w:p>
      <w:pPr>
        <w:rPr>
          <w:rFonts w:eastAsia="宋体"/>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
      <w:pPr>
        <w:pStyle w:val="5"/>
        <w:rPr>
          <w:rFonts w:eastAsia="仿宋"/>
          <w:sz w:val="44"/>
          <w:szCs w:val="44"/>
        </w:rPr>
      </w:pPr>
    </w:p>
    <w:p>
      <w:pPr>
        <w:adjustRightInd w:val="0"/>
        <w:snapToGrid w:val="0"/>
        <w:spacing w:line="480" w:lineRule="auto"/>
        <w:ind w:firstLine="320" w:firstLineChars="100"/>
        <w:rPr>
          <w:rFonts w:ascii="仿宋_GB2312" w:hAnsi="Times New Roman" w:eastAsia="仿宋_GB2312" w:cs="Times New Roman"/>
          <w:sz w:val="32"/>
          <w:szCs w:val="32"/>
          <w:u w:val="single"/>
        </w:rPr>
      </w:pPr>
      <w:r>
        <w:rPr>
          <w:rFonts w:hint="eastAsia" w:ascii="仿宋_GB2312" w:eastAsia="仿宋_GB2312"/>
          <w:sz w:val="32"/>
          <w:szCs w:val="32"/>
        </w:rPr>
        <w:t>项目名称：</w:t>
      </w:r>
      <w:r>
        <w:rPr>
          <w:rFonts w:hint="eastAsia" w:ascii="仿宋_GB2312" w:hAnsi="Times New Roman" w:eastAsia="仿宋_GB2312" w:cs="Times New Roman"/>
          <w:sz w:val="32"/>
          <w:szCs w:val="32"/>
          <w:u w:val="single"/>
        </w:rPr>
        <w:t xml:space="preserve">    白城市昌盛农机回收拆解有限公司    </w:t>
      </w:r>
    </w:p>
    <w:p>
      <w:pPr>
        <w:adjustRightInd w:val="0"/>
        <w:snapToGrid w:val="0"/>
        <w:spacing w:line="480" w:lineRule="auto"/>
        <w:ind w:firstLine="1920" w:firstLineChars="60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报废农机回收拆解项目        </w:t>
      </w:r>
    </w:p>
    <w:p>
      <w:pPr>
        <w:adjustRightInd w:val="0"/>
        <w:snapToGrid w:val="0"/>
        <w:spacing w:line="480" w:lineRule="auto"/>
        <w:ind w:firstLine="320" w:firstLineChars="100"/>
        <w:rPr>
          <w:rFonts w:ascii="仿宋_GB2312" w:eastAsia="仿宋_GB2312"/>
          <w:sz w:val="32"/>
          <w:szCs w:val="32"/>
          <w:u w:val="single"/>
        </w:rPr>
      </w:pPr>
      <w:r>
        <w:rPr>
          <w:rFonts w:hint="eastAsia" w:ascii="仿宋_GB2312" w:eastAsia="仿宋_GB2312"/>
          <w:sz w:val="32"/>
          <w:szCs w:val="32"/>
        </w:rPr>
        <w:t>建设单位（盖章）:</w:t>
      </w:r>
      <w:r>
        <w:rPr>
          <w:rFonts w:hint="eastAsia" w:ascii="仿宋_GB2312" w:hAnsi="Times New Roman" w:eastAsia="仿宋_GB2312" w:cs="Times New Roman"/>
          <w:sz w:val="32"/>
          <w:szCs w:val="32"/>
          <w:u w:val="single"/>
        </w:rPr>
        <w:t>白城市昌盛农机回收拆解有限公司</w:t>
      </w:r>
    </w:p>
    <w:p>
      <w:pPr>
        <w:adjustRightInd w:val="0"/>
        <w:snapToGrid w:val="0"/>
        <w:spacing w:line="480" w:lineRule="auto"/>
        <w:ind w:firstLine="320" w:firstLineChars="100"/>
        <w:rPr>
          <w:rFonts w:ascii="仿宋_GB2312" w:hAnsi="Times New Roman" w:eastAsia="仿宋_GB2312" w:cs="Times New Roman"/>
          <w:sz w:val="32"/>
          <w:szCs w:val="32"/>
          <w:u w:val="single"/>
        </w:rPr>
      </w:pPr>
      <w:r>
        <w:rPr>
          <w:rFonts w:hint="eastAsia" w:ascii="仿宋_GB2312" w:eastAsia="仿宋_GB2312"/>
          <w:sz w:val="32"/>
          <w:szCs w:val="32"/>
        </w:rPr>
        <w:t>编制日期：</w:t>
      </w:r>
      <w:r>
        <w:rPr>
          <w:rFonts w:hint="eastAsia" w:ascii="仿宋_GB2312" w:hAnsi="Times New Roman" w:eastAsia="仿宋_GB2312" w:cs="Times New Roman"/>
          <w:sz w:val="32"/>
          <w:szCs w:val="32"/>
          <w:u w:val="single"/>
        </w:rPr>
        <w:t xml:space="preserve">             2023年2月              </w:t>
      </w:r>
    </w:p>
    <w:p>
      <w:pPr>
        <w:adjustRightInd w:val="0"/>
        <w:snapToGrid w:val="0"/>
        <w:spacing w:line="288" w:lineRule="auto"/>
        <w:jc w:val="center"/>
        <w:rPr>
          <w:rFonts w:ascii="楷体_GB2312" w:eastAsia="楷体_GB2312"/>
          <w:sz w:val="36"/>
          <w:szCs w:val="36"/>
        </w:rPr>
      </w:pPr>
    </w:p>
    <w:p>
      <w:pPr>
        <w:pStyle w:val="20"/>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outlineLvl w:val="0"/>
        <w:rPr>
          <w:rFonts w:ascii="Times New Roman" w:hAnsi="Times New Roman" w:eastAsia="宋体" w:cs="Times New Roman"/>
          <w:b/>
          <w:bCs/>
          <w:sz w:val="30"/>
          <w:szCs w:val="30"/>
        </w:rPr>
      </w:pPr>
    </w:p>
    <w:p>
      <w:pPr>
        <w:pStyle w:val="2"/>
        <w:ind w:firstLine="602"/>
        <w:rPr>
          <w:rFonts w:ascii="Times New Roman" w:hAnsi="Times New Roman" w:eastAsia="宋体" w:cs="Times New Roman"/>
          <w:b/>
          <w:bCs/>
          <w:sz w:val="30"/>
          <w:szCs w:val="30"/>
        </w:rPr>
      </w:pPr>
    </w:p>
    <w:p>
      <w:pPr>
        <w:spacing w:line="640" w:lineRule="exact"/>
        <w:jc w:val="center"/>
        <w:rPr>
          <w:rFonts w:hint="eastAsia" w:ascii="宋体" w:hAnsi="宋体"/>
          <w:b/>
          <w:sz w:val="40"/>
          <w:szCs w:val="36"/>
          <w:u w:val="single"/>
        </w:rPr>
      </w:pPr>
    </w:p>
    <w:p>
      <w:pPr>
        <w:spacing w:line="640" w:lineRule="exact"/>
        <w:jc w:val="center"/>
        <w:rPr>
          <w:rFonts w:ascii="宋体" w:hAnsi="宋体"/>
          <w:b/>
          <w:sz w:val="40"/>
          <w:szCs w:val="36"/>
          <w:u w:val="single"/>
        </w:rPr>
      </w:pPr>
      <w:r>
        <w:rPr>
          <w:rFonts w:hint="eastAsia" w:ascii="宋体" w:hAnsi="宋体"/>
          <w:b/>
          <w:sz w:val="40"/>
          <w:szCs w:val="36"/>
          <w:u w:val="single"/>
        </w:rPr>
        <w:t xml:space="preserve">  修 改 清 单  </w:t>
      </w:r>
    </w:p>
    <w:p>
      <w:pPr>
        <w:spacing w:line="240" w:lineRule="exact"/>
        <w:jc w:val="center"/>
        <w:rPr>
          <w:rFonts w:ascii="宋体" w:hAnsi="宋体"/>
          <w:b/>
          <w:sz w:val="36"/>
          <w:szCs w:val="36"/>
          <w:u w:val="single"/>
        </w:rPr>
      </w:pPr>
    </w:p>
    <w:tbl>
      <w:tblPr>
        <w:tblStyle w:val="25"/>
        <w:tblW w:w="88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590"/>
        <w:gridCol w:w="14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0" w:type="dxa"/>
            <w:tcBorders>
              <w:top w:val="single" w:color="auto" w:sz="12" w:space="0"/>
              <w:left w:val="nil"/>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6590" w:type="dxa"/>
            <w:tcBorders>
              <w:top w:val="single" w:color="auto" w:sz="12"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修  改  内  容</w:t>
            </w:r>
          </w:p>
        </w:tc>
        <w:tc>
          <w:tcPr>
            <w:tcW w:w="1403" w:type="dxa"/>
            <w:tcBorders>
              <w:top w:val="single" w:color="auto" w:sz="12" w:space="0"/>
              <w:left w:val="single" w:color="auto" w:sz="4" w:space="0"/>
              <w:bottom w:val="single" w:color="auto" w:sz="4" w:space="0"/>
              <w:right w:val="nil"/>
            </w:tcBorders>
            <w:noWrap/>
            <w:vAlign w:val="center"/>
          </w:tcPr>
          <w:p>
            <w:pPr>
              <w:jc w:val="center"/>
              <w:rPr>
                <w:rFonts w:ascii="宋体" w:hAnsi="宋体" w:eastAsia="宋体" w:cs="宋体"/>
                <w:b/>
                <w:szCs w:val="21"/>
              </w:rPr>
            </w:pPr>
            <w:r>
              <w:rPr>
                <w:rFonts w:hint="eastAsia" w:ascii="宋体" w:hAnsi="宋体" w:eastAsia="宋体" w:cs="宋体"/>
                <w:b/>
                <w:szCs w:val="21"/>
              </w:rPr>
              <w:t>修改页码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1</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pacing w:val="10"/>
                <w:kern w:val="2"/>
                <w:sz w:val="21"/>
                <w:szCs w:val="21"/>
              </w:rPr>
            </w:pPr>
            <w:r>
              <w:rPr>
                <w:rFonts w:hint="eastAsia" w:eastAsia="宋体"/>
                <w:kern w:val="2"/>
                <w:sz w:val="21"/>
                <w:szCs w:val="21"/>
              </w:rPr>
              <w:t>完善厂区周围环境现状及环境敏感点调查内容，进一步细化规划符合性分析内容，补充本项目建设与规划环评中产业定位、产业布局、用地布局规划的相符性，补充与规划环评审查意见的相符性，补充与白城工业园区生态环境准入清单的符合性分析内容；完善选址的合理性分析。</w:t>
            </w:r>
          </w:p>
        </w:tc>
        <w:tc>
          <w:tcPr>
            <w:tcW w:w="1403" w:type="dxa"/>
            <w:tcBorders>
              <w:top w:val="single" w:color="auto" w:sz="4" w:space="0"/>
              <w:left w:val="single" w:color="auto" w:sz="4" w:space="0"/>
              <w:bottom w:val="single" w:color="auto" w:sz="4" w:space="0"/>
              <w:right w:val="nil"/>
            </w:tcBorders>
            <w:noWrap/>
            <w:vAlign w:val="center"/>
          </w:tcPr>
          <w:p>
            <w:pPr>
              <w:jc w:val="center"/>
              <w:rPr>
                <w:rFonts w:ascii="宋体" w:hAnsi="宋体" w:eastAsia="宋体" w:cs="宋体"/>
                <w:szCs w:val="21"/>
              </w:rPr>
            </w:pPr>
            <w:r>
              <w:rPr>
                <w:rFonts w:hint="eastAsia" w:ascii="宋体" w:hAnsi="宋体" w:eastAsia="宋体" w:cs="宋体"/>
                <w:szCs w:val="21"/>
              </w:rPr>
              <w:t>P2-3、P</w:t>
            </w:r>
            <w:r>
              <w:rPr>
                <w:rFonts w:hint="eastAsia" w:ascii="宋体" w:hAnsi="宋体" w:eastAsia="宋体" w:cs="宋体"/>
                <w:szCs w:val="21"/>
                <w:lang w:val="en-US" w:eastAsia="zh-CN"/>
              </w:rPr>
              <w:t>27</w:t>
            </w:r>
          </w:p>
          <w:p>
            <w:pPr>
              <w:jc w:val="center"/>
              <w:rPr>
                <w:rFonts w:hint="default" w:ascii="宋体" w:hAnsi="宋体" w:eastAsia="宋体" w:cs="宋体"/>
                <w:szCs w:val="21"/>
                <w:lang w:val="en-US" w:eastAsia="zh-CN"/>
              </w:rPr>
            </w:pPr>
            <w:r>
              <w:rPr>
                <w:rFonts w:hint="eastAsia" w:ascii="宋体" w:hAnsi="宋体" w:eastAsia="宋体" w:cs="宋体"/>
                <w:szCs w:val="21"/>
              </w:rPr>
              <w:t>P</w:t>
            </w:r>
            <w:r>
              <w:rPr>
                <w:rFonts w:hint="eastAsia" w:ascii="宋体" w:hAnsi="宋体" w:eastAsia="宋体" w:cs="宋体"/>
                <w:szCs w:val="21"/>
                <w:lang w:val="en-US" w:eastAsia="zh-CN"/>
              </w:rPr>
              <w:t>6-14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2</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pacing w:val="8"/>
                <w:sz w:val="21"/>
                <w:szCs w:val="21"/>
              </w:rPr>
            </w:pPr>
            <w:r>
              <w:rPr>
                <w:rFonts w:hint="eastAsia" w:eastAsia="宋体"/>
                <w:kern w:val="2"/>
                <w:sz w:val="21"/>
                <w:szCs w:val="21"/>
              </w:rPr>
              <w:t>补充租用白城市国宾机械制造有限公司基本情况，明确该单位环保政策、法规的执行情况、是否存在的环保问题及需要采取整改措施。</w:t>
            </w:r>
          </w:p>
        </w:tc>
        <w:tc>
          <w:tcPr>
            <w:tcW w:w="1403" w:type="dxa"/>
            <w:tcBorders>
              <w:top w:val="single" w:color="auto" w:sz="4" w:space="0"/>
              <w:left w:val="single" w:color="auto" w:sz="4" w:space="0"/>
              <w:bottom w:val="single" w:color="auto" w:sz="4" w:space="0"/>
              <w:right w:val="nil"/>
            </w:tcBorders>
            <w:noWrap/>
            <w:vAlign w:val="center"/>
          </w:tcPr>
          <w:p>
            <w:pPr>
              <w:jc w:val="center"/>
              <w:rPr>
                <w:rFonts w:hint="default" w:ascii="宋体" w:hAnsi="宋体" w:eastAsia="宋体" w:cs="宋体"/>
                <w:szCs w:val="21"/>
                <w:lang w:val="en-US" w:eastAsia="zh-CN"/>
              </w:rPr>
            </w:pPr>
            <w:r>
              <w:rPr>
                <w:rFonts w:hint="eastAsia" w:ascii="宋体" w:hAnsi="宋体" w:eastAsia="宋体" w:cs="宋体"/>
                <w:szCs w:val="21"/>
              </w:rPr>
              <w:t>P</w:t>
            </w:r>
            <w:r>
              <w:rPr>
                <w:rFonts w:hint="eastAsia" w:ascii="宋体" w:hAnsi="宋体" w:eastAsia="宋体" w:cs="宋体"/>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3</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pacing w:val="10"/>
                <w:sz w:val="21"/>
                <w:szCs w:val="21"/>
              </w:rPr>
            </w:pPr>
            <w:r>
              <w:rPr>
                <w:rFonts w:hint="eastAsia" w:eastAsia="宋体"/>
                <w:kern w:val="2"/>
                <w:sz w:val="21"/>
                <w:szCs w:val="21"/>
              </w:rPr>
              <w:t>复核施工期环境影响分析内容，说明施工期拆解垃圾产生的种类、数量、性质，说明临时保存措施及最终无害化处置措施。</w:t>
            </w:r>
          </w:p>
        </w:tc>
        <w:tc>
          <w:tcPr>
            <w:tcW w:w="1403" w:type="dxa"/>
            <w:tcBorders>
              <w:top w:val="single" w:color="auto" w:sz="4" w:space="0"/>
              <w:left w:val="single" w:color="auto" w:sz="4" w:space="0"/>
              <w:bottom w:val="single" w:color="auto" w:sz="4" w:space="0"/>
              <w:right w:val="nil"/>
            </w:tcBorders>
            <w:noWrap/>
            <w:vAlign w:val="center"/>
          </w:tcPr>
          <w:p>
            <w:pPr>
              <w:jc w:val="center"/>
              <w:rPr>
                <w:rFonts w:ascii="宋体" w:hAnsi="宋体" w:eastAsia="宋体" w:cs="宋体"/>
                <w:szCs w:val="21"/>
              </w:rPr>
            </w:pPr>
            <w:r>
              <w:rPr>
                <w:rFonts w:hint="eastAsia" w:ascii="宋体" w:hAnsi="宋体" w:eastAsia="宋体" w:cs="宋体"/>
                <w:szCs w:val="21"/>
              </w:rPr>
              <w:t>P</w:t>
            </w:r>
            <w:r>
              <w:rPr>
                <w:rFonts w:hint="eastAsia" w:ascii="宋体" w:hAnsi="宋体" w:eastAsia="宋体" w:cs="宋体"/>
                <w:szCs w:val="21"/>
                <w:lang w:val="en-US" w:eastAsia="zh-CN"/>
              </w:rPr>
              <w:t>55</w:t>
            </w:r>
            <w:r>
              <w:rPr>
                <w:rFonts w:hint="eastAsia" w:ascii="宋体" w:hAnsi="宋体" w:eastAsia="宋体" w:cs="宋体"/>
                <w:szCs w:val="21"/>
              </w:rPr>
              <w:t>、</w:t>
            </w:r>
            <w:r>
              <w:rPr>
                <w:rFonts w:hint="eastAsia" w:ascii="宋体" w:hAnsi="宋体" w:eastAsia="宋体" w:cs="宋体"/>
                <w:szCs w:val="21"/>
                <w:lang w:val="en-US" w:eastAsia="zh-CN"/>
              </w:rPr>
              <w:t>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4</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pacing w:val="10"/>
                <w:sz w:val="21"/>
                <w:szCs w:val="21"/>
              </w:rPr>
            </w:pPr>
            <w:r>
              <w:rPr>
                <w:rFonts w:hint="eastAsia" w:eastAsia="宋体"/>
                <w:kern w:val="2"/>
                <w:sz w:val="21"/>
                <w:szCs w:val="21"/>
              </w:rPr>
              <w:t>细化生产工艺及产排污节点，复核非甲烷总烃产生源强，核实是否需要设置油气回收装置</w:t>
            </w:r>
            <w:r>
              <w:rPr>
                <w:rFonts w:hint="eastAsia" w:eastAsia="宋体"/>
                <w:bCs/>
                <w:kern w:val="2"/>
                <w:sz w:val="21"/>
                <w:szCs w:val="21"/>
              </w:rPr>
              <w:t>；明确不可利用材料是什么材料，并核实由环卫部门处置的合理性；核实含油抹布和手套处置方案的合理性。</w:t>
            </w:r>
          </w:p>
        </w:tc>
        <w:tc>
          <w:tcPr>
            <w:tcW w:w="1403" w:type="dxa"/>
            <w:tcBorders>
              <w:top w:val="single" w:color="auto" w:sz="4" w:space="0"/>
              <w:left w:val="single" w:color="auto" w:sz="4" w:space="0"/>
              <w:bottom w:val="single" w:color="auto" w:sz="4" w:space="0"/>
              <w:right w:val="nil"/>
            </w:tcBorders>
            <w:noWrap/>
            <w:vAlign w:val="center"/>
          </w:tcPr>
          <w:p>
            <w:pPr>
              <w:jc w:val="center"/>
              <w:rPr>
                <w:rFonts w:hint="eastAsia" w:ascii="宋体" w:hAnsi="宋体" w:eastAsia="宋体" w:cs="宋体"/>
                <w:szCs w:val="21"/>
              </w:rPr>
            </w:pPr>
            <w:r>
              <w:rPr>
                <w:rFonts w:hint="eastAsia" w:ascii="宋体" w:hAnsi="宋体" w:eastAsia="宋体" w:cs="宋体"/>
                <w:szCs w:val="21"/>
              </w:rPr>
              <w:t>P4</w:t>
            </w:r>
            <w:r>
              <w:rPr>
                <w:rFonts w:hint="eastAsia" w:ascii="宋体" w:hAnsi="宋体" w:eastAsia="宋体" w:cs="宋体"/>
                <w:szCs w:val="21"/>
                <w:lang w:val="en-US" w:eastAsia="zh-CN"/>
              </w:rPr>
              <w:t>2</w:t>
            </w: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P62-68</w:t>
            </w:r>
          </w:p>
          <w:p>
            <w:pPr>
              <w:jc w:val="center"/>
              <w:rPr>
                <w:rFonts w:ascii="宋体" w:hAnsi="宋体" w:eastAsia="宋体" w:cs="宋体"/>
                <w:szCs w:val="21"/>
              </w:rPr>
            </w:pPr>
            <w:r>
              <w:rPr>
                <w:rFonts w:hint="eastAsia" w:ascii="宋体" w:hAnsi="宋体" w:eastAsia="宋体" w:cs="宋体"/>
                <w:szCs w:val="21"/>
                <w:lang w:val="en-US" w:eastAsia="zh-CN"/>
              </w:rPr>
              <w:t>P7</w:t>
            </w:r>
            <w:r>
              <w:rPr>
                <w:rFonts w:hint="eastAsia" w:ascii="宋体" w:hAnsi="宋体" w:eastAsia="宋体" w:cs="宋体"/>
                <w:szCs w:val="21"/>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5</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z w:val="21"/>
                <w:szCs w:val="21"/>
              </w:rPr>
            </w:pPr>
            <w:r>
              <w:rPr>
                <w:rFonts w:hint="eastAsia" w:eastAsia="宋体"/>
                <w:kern w:val="2"/>
                <w:sz w:val="21"/>
                <w:szCs w:val="21"/>
              </w:rPr>
              <w:t>从污染源、污染物及污染途径等方面，完善地下水、土壤影响分析内容，拆解车间、沉淀池均涉及持久性污染物，应结合场地包气带防污性能，核实按一般防渗区防渗是否满足要求</w:t>
            </w:r>
            <w:bookmarkStart w:id="0" w:name="_Hlk126684632"/>
            <w:r>
              <w:rPr>
                <w:rFonts w:hint="eastAsia" w:eastAsia="宋体"/>
                <w:kern w:val="2"/>
                <w:sz w:val="21"/>
                <w:szCs w:val="21"/>
              </w:rPr>
              <w:t>。</w:t>
            </w:r>
            <w:bookmarkEnd w:id="0"/>
          </w:p>
        </w:tc>
        <w:tc>
          <w:tcPr>
            <w:tcW w:w="1403" w:type="dxa"/>
            <w:tcBorders>
              <w:top w:val="single" w:color="auto" w:sz="4" w:space="0"/>
              <w:left w:val="single" w:color="auto" w:sz="4" w:space="0"/>
              <w:bottom w:val="single" w:color="auto" w:sz="4" w:space="0"/>
              <w:right w:val="nil"/>
            </w:tcBorders>
            <w:noWrap/>
            <w:vAlign w:val="center"/>
          </w:tcPr>
          <w:p>
            <w:pPr>
              <w:jc w:val="center"/>
              <w:rPr>
                <w:rFonts w:ascii="宋体" w:hAnsi="宋体" w:eastAsia="宋体" w:cs="宋体"/>
                <w:szCs w:val="21"/>
              </w:rPr>
            </w:pPr>
            <w:r>
              <w:rPr>
                <w:rFonts w:hint="eastAsia" w:ascii="宋体" w:hAnsi="宋体" w:eastAsia="宋体" w:cs="宋体"/>
                <w:szCs w:val="21"/>
              </w:rPr>
              <w:t>P</w:t>
            </w:r>
            <w:r>
              <w:rPr>
                <w:rFonts w:hint="eastAsia" w:ascii="宋体" w:hAnsi="宋体" w:eastAsia="宋体" w:cs="宋体"/>
                <w:szCs w:val="21"/>
                <w:lang w:val="en-US" w:eastAsia="zh-CN"/>
              </w:rPr>
              <w:t>86</w:t>
            </w:r>
            <w:r>
              <w:rPr>
                <w:rFonts w:hint="eastAsia" w:ascii="宋体" w:hAnsi="宋体" w:eastAsia="宋体" w:cs="宋体"/>
                <w:szCs w:val="21"/>
              </w:rPr>
              <w:t>-</w:t>
            </w:r>
            <w:r>
              <w:rPr>
                <w:rFonts w:hint="eastAsia" w:ascii="宋体" w:hAnsi="宋体" w:eastAsia="宋体" w:cs="宋体"/>
                <w:szCs w:val="21"/>
                <w:lang w:val="en-US" w:eastAsia="zh-CN"/>
              </w:rPr>
              <w:t>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6</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z w:val="21"/>
                <w:szCs w:val="21"/>
              </w:rPr>
            </w:pPr>
            <w:r>
              <w:rPr>
                <w:rFonts w:hint="eastAsia" w:eastAsia="宋体"/>
                <w:kern w:val="2"/>
                <w:sz w:val="21"/>
                <w:szCs w:val="21"/>
              </w:rPr>
              <w:t>核实雨水收集量，复核水平衡；核实项目采用的废水处理工艺可否满足回用水标准，建议完善废水处理方案。</w:t>
            </w:r>
          </w:p>
        </w:tc>
        <w:tc>
          <w:tcPr>
            <w:tcW w:w="1403" w:type="dxa"/>
            <w:tcBorders>
              <w:top w:val="single" w:color="auto" w:sz="4" w:space="0"/>
              <w:left w:val="single" w:color="auto" w:sz="4" w:space="0"/>
              <w:bottom w:val="single" w:color="auto" w:sz="4" w:space="0"/>
              <w:right w:val="nil"/>
            </w:tcBorders>
            <w:noWrap/>
            <w:vAlign w:val="center"/>
          </w:tcPr>
          <w:p>
            <w:pPr>
              <w:jc w:val="center"/>
              <w:rPr>
                <w:rFonts w:ascii="宋体" w:hAnsi="宋体" w:eastAsia="宋体" w:cs="宋体"/>
                <w:szCs w:val="21"/>
              </w:rPr>
            </w:pPr>
            <w:r>
              <w:rPr>
                <w:rFonts w:hint="eastAsia" w:ascii="宋体" w:hAnsi="宋体" w:eastAsia="宋体" w:cs="宋体"/>
                <w:szCs w:val="21"/>
              </w:rPr>
              <w:t>P</w:t>
            </w:r>
            <w:r>
              <w:rPr>
                <w:rFonts w:hint="eastAsia" w:ascii="宋体" w:hAnsi="宋体" w:eastAsia="宋体" w:cs="宋体"/>
                <w:szCs w:val="21"/>
                <w:lang w:val="en-US" w:eastAsia="zh-CN"/>
              </w:rPr>
              <w:t>57</w:t>
            </w:r>
            <w:r>
              <w:rPr>
                <w:rFonts w:hint="eastAsia" w:ascii="宋体" w:hAnsi="宋体" w:eastAsia="宋体" w:cs="宋体"/>
                <w:szCs w:val="21"/>
              </w:rPr>
              <w:t>-</w:t>
            </w:r>
            <w:r>
              <w:rPr>
                <w:rFonts w:hint="eastAsia" w:ascii="宋体" w:hAnsi="宋体" w:eastAsia="宋体" w:cs="宋体"/>
                <w:szCs w:val="21"/>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7</w:t>
            </w:r>
          </w:p>
        </w:tc>
        <w:tc>
          <w:tcPr>
            <w:tcW w:w="6590" w:type="dxa"/>
            <w:tcBorders>
              <w:top w:val="single" w:color="auto" w:sz="4" w:space="0"/>
              <w:left w:val="single" w:color="auto" w:sz="4" w:space="0"/>
              <w:bottom w:val="single" w:color="auto" w:sz="4" w:space="0"/>
              <w:right w:val="single" w:color="auto" w:sz="4" w:space="0"/>
            </w:tcBorders>
            <w:noWrap/>
            <w:vAlign w:val="center"/>
          </w:tcPr>
          <w:p>
            <w:pPr>
              <w:pStyle w:val="3"/>
              <w:spacing w:beforeLines="0" w:afterLines="0"/>
              <w:ind w:firstLine="420" w:firstLineChars="200"/>
              <w:rPr>
                <w:rFonts w:eastAsia="宋体"/>
                <w:sz w:val="21"/>
                <w:szCs w:val="21"/>
              </w:rPr>
            </w:pPr>
            <w:r>
              <w:rPr>
                <w:rFonts w:hint="eastAsia" w:eastAsia="宋体"/>
                <w:kern w:val="2"/>
                <w:sz w:val="21"/>
                <w:szCs w:val="21"/>
              </w:rPr>
              <w:t>复核总量控制指标中的相关内容；复核建设项目污染物总量汇总表中的相关内容；完善环境风险评价内容及风险防范措施。</w:t>
            </w:r>
          </w:p>
        </w:tc>
        <w:tc>
          <w:tcPr>
            <w:tcW w:w="1403" w:type="dxa"/>
            <w:tcBorders>
              <w:top w:val="single" w:color="auto" w:sz="4" w:space="0"/>
              <w:left w:val="single" w:color="auto" w:sz="4" w:space="0"/>
              <w:bottom w:val="single" w:color="auto" w:sz="4" w:space="0"/>
              <w:right w:val="nil"/>
            </w:tcBorders>
            <w:noWrap/>
            <w:vAlign w:val="center"/>
          </w:tcPr>
          <w:p>
            <w:pPr>
              <w:jc w:val="center"/>
              <w:rPr>
                <w:rFonts w:hint="eastAsia" w:ascii="宋体" w:hAnsi="宋体" w:eastAsia="宋体" w:cs="宋体"/>
                <w:szCs w:val="21"/>
              </w:rPr>
            </w:pPr>
            <w:r>
              <w:rPr>
                <w:rFonts w:hint="eastAsia" w:ascii="宋体" w:hAnsi="宋体" w:eastAsia="宋体" w:cs="宋体"/>
                <w:szCs w:val="21"/>
              </w:rPr>
              <w:t>P</w:t>
            </w:r>
            <w:r>
              <w:rPr>
                <w:rFonts w:hint="eastAsia" w:ascii="宋体" w:hAnsi="宋体" w:eastAsia="宋体" w:cs="宋体"/>
                <w:szCs w:val="21"/>
                <w:lang w:val="en-US" w:eastAsia="zh-CN"/>
              </w:rPr>
              <w:t>53-54</w:t>
            </w: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P88-93</w:t>
            </w:r>
          </w:p>
          <w:p>
            <w:pPr>
              <w:jc w:val="center"/>
              <w:rPr>
                <w:rFonts w:hint="default" w:ascii="宋体" w:hAnsi="宋体" w:eastAsia="宋体" w:cs="宋体"/>
                <w:szCs w:val="21"/>
                <w:lang w:val="en-US"/>
              </w:rPr>
            </w:pPr>
            <w:r>
              <w:rPr>
                <w:rFonts w:hint="eastAsia" w:ascii="宋体" w:hAnsi="宋体" w:eastAsia="宋体" w:cs="宋体"/>
                <w:szCs w:val="21"/>
                <w:lang w:val="en-US" w:eastAsia="zh-CN"/>
              </w:rPr>
              <w:t>P99-100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40" w:type="dxa"/>
            <w:tcBorders>
              <w:top w:val="single" w:color="auto" w:sz="4" w:space="0"/>
              <w:left w:val="nil"/>
              <w:bottom w:val="single" w:color="auto" w:sz="12"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8</w:t>
            </w:r>
          </w:p>
        </w:tc>
        <w:tc>
          <w:tcPr>
            <w:tcW w:w="6590" w:type="dxa"/>
            <w:tcBorders>
              <w:top w:val="single" w:color="auto" w:sz="4" w:space="0"/>
              <w:left w:val="single" w:color="auto" w:sz="4" w:space="0"/>
              <w:bottom w:val="single" w:color="auto" w:sz="12" w:space="0"/>
              <w:right w:val="single" w:color="auto" w:sz="4" w:space="0"/>
            </w:tcBorders>
            <w:noWrap/>
            <w:vAlign w:val="center"/>
          </w:tcPr>
          <w:p>
            <w:pPr>
              <w:ind w:firstLine="420" w:firstLineChars="200"/>
              <w:rPr>
                <w:rFonts w:ascii="宋体" w:hAnsi="宋体" w:eastAsia="宋体" w:cs="宋体"/>
                <w:szCs w:val="21"/>
              </w:rPr>
            </w:pPr>
            <w:r>
              <w:rPr>
                <w:rFonts w:hint="eastAsia" w:ascii="宋体" w:hAnsi="宋体" w:eastAsia="宋体" w:cs="宋体"/>
                <w:szCs w:val="21"/>
              </w:rPr>
              <w:t>复核环保投资、“三同时”内容，复核污染物排放清单及环境监测管理内容，规范相关图件。</w:t>
            </w:r>
          </w:p>
        </w:tc>
        <w:tc>
          <w:tcPr>
            <w:tcW w:w="1403" w:type="dxa"/>
            <w:tcBorders>
              <w:top w:val="single" w:color="auto" w:sz="4" w:space="0"/>
              <w:left w:val="single" w:color="auto" w:sz="4" w:space="0"/>
              <w:bottom w:val="single" w:color="auto" w:sz="12"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rPr>
            </w:pPr>
            <w:r>
              <w:rPr>
                <w:rFonts w:hint="eastAsia" w:ascii="宋体" w:hAnsi="宋体" w:eastAsia="宋体" w:cs="宋体"/>
                <w:szCs w:val="21"/>
              </w:rPr>
              <w:t>P</w:t>
            </w:r>
            <w:r>
              <w:rPr>
                <w:rFonts w:hint="eastAsia" w:ascii="宋体" w:hAnsi="宋体" w:eastAsia="宋体" w:cs="宋体"/>
                <w:szCs w:val="21"/>
                <w:lang w:val="en-US" w:eastAsia="zh-CN"/>
              </w:rPr>
              <w:t>59、</w:t>
            </w:r>
            <w:r>
              <w:rPr>
                <w:rFonts w:hint="eastAsia" w:ascii="宋体" w:hAnsi="宋体" w:eastAsia="宋体" w:cs="宋体"/>
                <w:szCs w:val="21"/>
              </w:rPr>
              <w:t>P</w:t>
            </w:r>
            <w:r>
              <w:rPr>
                <w:rFonts w:hint="eastAsia" w:ascii="宋体" w:hAnsi="宋体" w:eastAsia="宋体" w:cs="宋体"/>
                <w:szCs w:val="21"/>
                <w:lang w:val="en-US" w:eastAsia="zh-CN"/>
              </w:rPr>
              <w:t>70</w:t>
            </w:r>
            <w:r>
              <w:rPr>
                <w:rFonts w:hint="eastAsia" w:ascii="宋体" w:hAnsi="宋体" w:eastAsia="宋体" w:cs="宋体"/>
                <w:szCs w:val="21"/>
              </w:rPr>
              <w:t>-</w:t>
            </w:r>
            <w:r>
              <w:rPr>
                <w:rFonts w:hint="eastAsia" w:ascii="宋体" w:hAnsi="宋体" w:eastAsia="宋体" w:cs="宋体"/>
                <w:szCs w:val="21"/>
                <w:lang w:val="en-US" w:eastAsia="zh-CN"/>
              </w:rPr>
              <w:t>71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rPr>
              <w:t>P</w:t>
            </w:r>
            <w:r>
              <w:rPr>
                <w:rFonts w:hint="eastAsia" w:ascii="宋体" w:hAnsi="宋体" w:eastAsia="宋体" w:cs="宋体"/>
                <w:szCs w:val="21"/>
                <w:lang w:val="en-US" w:eastAsia="zh-CN"/>
              </w:rPr>
              <w:t>76</w:t>
            </w:r>
            <w:r>
              <w:rPr>
                <w:rFonts w:hint="eastAsia" w:ascii="宋体" w:hAnsi="宋体" w:eastAsia="宋体" w:cs="宋体"/>
                <w:szCs w:val="21"/>
              </w:rPr>
              <w:t>-</w:t>
            </w:r>
            <w:r>
              <w:rPr>
                <w:rFonts w:hint="eastAsia" w:ascii="宋体" w:hAnsi="宋体" w:eastAsia="宋体" w:cs="宋体"/>
                <w:szCs w:val="21"/>
                <w:lang w:val="en-US" w:eastAsia="zh-CN"/>
              </w:rPr>
              <w:t>77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P94、95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Cs w:val="21"/>
                <w:lang w:val="en-US"/>
              </w:rPr>
            </w:pPr>
            <w:r>
              <w:rPr>
                <w:rFonts w:hint="eastAsia" w:ascii="宋体" w:hAnsi="宋体" w:eastAsia="宋体" w:cs="宋体"/>
                <w:szCs w:val="21"/>
                <w:lang w:val="en-US" w:eastAsia="zh-CN"/>
              </w:rPr>
              <w:t>已完善</w:t>
            </w:r>
          </w:p>
        </w:tc>
      </w:tr>
    </w:tbl>
    <w:p>
      <w:pPr>
        <w:pStyle w:val="3"/>
        <w:spacing w:before="62" w:after="62"/>
        <w:rPr>
          <w:rFonts w:ascii="Times New Roman" w:hAnsi="Times New Roman" w:eastAsia="宋体" w:cs="Times New Roman"/>
          <w:b/>
          <w:bCs/>
          <w:sz w:val="30"/>
          <w:szCs w:val="30"/>
        </w:rPr>
        <w:sectPr>
          <w:footerReference r:id="rId3" w:type="default"/>
          <w:pgSz w:w="11906" w:h="16838"/>
          <w:pgMar w:top="1701" w:right="1701" w:bottom="1701" w:left="170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一、建设项目基本情况</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97"/>
        <w:gridCol w:w="2454"/>
        <w:gridCol w:w="1575"/>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建设项目名称</w:t>
            </w:r>
          </w:p>
        </w:tc>
        <w:tc>
          <w:tcPr>
            <w:tcW w:w="6962" w:type="dxa"/>
            <w:gridSpan w:val="3"/>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白城市昌盛农机回收拆解有限公司报废农机回收拆解项目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项目代码</w:t>
            </w:r>
          </w:p>
        </w:tc>
        <w:tc>
          <w:tcPr>
            <w:tcW w:w="6962" w:type="dxa"/>
            <w:gridSpan w:val="3"/>
            <w:vAlign w:val="center"/>
          </w:tcPr>
          <w:p>
            <w:pPr>
              <w:snapToGrid w:val="0"/>
              <w:jc w:val="center"/>
              <w:rPr>
                <w:rFonts w:ascii="Times New Roman" w:hAnsi="Times New Roman" w:eastAsia="宋体" w:cs="Times New Roman"/>
                <w:sz w:val="24"/>
              </w:rPr>
            </w:pPr>
            <w:r>
              <w:rPr>
                <w:rFonts w:ascii="Times New Roman" w:hAnsi="Times New Roman" w:eastAsia="宋体" w:cs="Times New Roman"/>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建设单位联系人</w:t>
            </w:r>
          </w:p>
        </w:tc>
        <w:tc>
          <w:tcPr>
            <w:tcW w:w="2454"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任立秋</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联系方式</w:t>
            </w:r>
          </w:p>
        </w:tc>
        <w:tc>
          <w:tcPr>
            <w:tcW w:w="2933"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13331576168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建设地点</w:t>
            </w:r>
          </w:p>
        </w:tc>
        <w:tc>
          <w:tcPr>
            <w:tcW w:w="6962" w:type="dxa"/>
            <w:gridSpan w:val="3"/>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白城</w:t>
            </w:r>
            <w:r>
              <w:rPr>
                <w:rFonts w:hint="eastAsia" w:ascii="Times New Roman" w:hAnsi="Times New Roman" w:eastAsia="宋体" w:cs="Times New Roman"/>
                <w:sz w:val="24"/>
              </w:rPr>
              <w:t>工业园区东海路北99号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地理坐标</w:t>
            </w:r>
          </w:p>
        </w:tc>
        <w:tc>
          <w:tcPr>
            <w:tcW w:w="6962" w:type="dxa"/>
            <w:gridSpan w:val="3"/>
            <w:vAlign w:val="center"/>
          </w:tcPr>
          <w:p>
            <w:pPr>
              <w:snapToGrid w:val="0"/>
              <w:jc w:val="center"/>
              <w:rPr>
                <w:rFonts w:ascii="Times New Roman" w:hAnsi="Times New Roman" w:eastAsia="宋体" w:cs="Times New Roman"/>
                <w:sz w:val="24"/>
              </w:rPr>
            </w:pPr>
            <w:r>
              <w:rPr>
                <w:rFonts w:ascii="Times New Roman" w:hAnsi="Times New Roman" w:eastAsia="宋体" w:cs="Times New Roman"/>
                <w:color w:val="000000"/>
                <w:sz w:val="24"/>
              </w:rPr>
              <w:t>经度：122度</w:t>
            </w:r>
            <w:r>
              <w:rPr>
                <w:rFonts w:hint="eastAsia" w:ascii="Times New Roman" w:hAnsi="Times New Roman" w:eastAsia="宋体" w:cs="Times New Roman"/>
                <w:color w:val="000000"/>
                <w:sz w:val="24"/>
                <w:lang w:val="en-US" w:eastAsia="zh-CN"/>
              </w:rPr>
              <w:t>52</w:t>
            </w:r>
            <w:r>
              <w:rPr>
                <w:rFonts w:ascii="Times New Roman" w:hAnsi="Times New Roman" w:eastAsia="宋体" w:cs="Times New Roman"/>
                <w:color w:val="000000"/>
                <w:sz w:val="24"/>
              </w:rPr>
              <w:t>分</w:t>
            </w:r>
            <w:r>
              <w:rPr>
                <w:rFonts w:hint="eastAsia" w:ascii="Times New Roman" w:hAnsi="Times New Roman" w:eastAsia="宋体" w:cs="Times New Roman"/>
                <w:color w:val="000000"/>
                <w:sz w:val="24"/>
                <w:lang w:val="en-US" w:eastAsia="zh-CN"/>
              </w:rPr>
              <w:t>54.09</w:t>
            </w:r>
            <w:r>
              <w:rPr>
                <w:rFonts w:ascii="Times New Roman" w:hAnsi="Times New Roman" w:eastAsia="宋体" w:cs="Times New Roman"/>
                <w:color w:val="000000"/>
                <w:sz w:val="24"/>
              </w:rPr>
              <w:t>秒，纬度：45度3</w:t>
            </w:r>
            <w:r>
              <w:rPr>
                <w:rFonts w:hint="eastAsia" w:ascii="Times New Roman" w:hAnsi="Times New Roman" w:eastAsia="宋体" w:cs="Times New Roman"/>
                <w:color w:val="000000"/>
                <w:sz w:val="24"/>
                <w:lang w:val="en-US" w:eastAsia="zh-CN"/>
              </w:rPr>
              <w:t>4</w:t>
            </w:r>
            <w:r>
              <w:rPr>
                <w:rFonts w:ascii="Times New Roman" w:hAnsi="Times New Roman" w:eastAsia="宋体" w:cs="Times New Roman"/>
                <w:color w:val="000000"/>
                <w:sz w:val="24"/>
              </w:rPr>
              <w:t>分</w:t>
            </w:r>
            <w:r>
              <w:rPr>
                <w:rFonts w:hint="eastAsia" w:ascii="Times New Roman" w:hAnsi="Times New Roman" w:eastAsia="宋体" w:cs="Times New Roman"/>
                <w:color w:val="000000"/>
                <w:sz w:val="24"/>
                <w:lang w:val="en-US" w:eastAsia="zh-CN"/>
              </w:rPr>
              <w:t>58.92</w:t>
            </w:r>
            <w:r>
              <w:rPr>
                <w:rFonts w:ascii="Times New Roman" w:hAnsi="Times New Roman" w:eastAsia="宋体" w:cs="Times New Roman"/>
                <w:color w:val="000000"/>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国民经济</w:t>
            </w:r>
          </w:p>
          <w:p>
            <w:pPr>
              <w:snapToGrid w:val="0"/>
              <w:jc w:val="center"/>
              <w:rPr>
                <w:rFonts w:ascii="Times New Roman" w:hAnsi="Times New Roman" w:eastAsia="宋体" w:cs="Times New Roman"/>
                <w:sz w:val="24"/>
              </w:rPr>
            </w:pPr>
            <w:r>
              <w:rPr>
                <w:rFonts w:ascii="Times New Roman" w:hAnsi="Times New Roman" w:eastAsia="宋体" w:cs="Times New Roman"/>
                <w:sz w:val="24"/>
              </w:rPr>
              <w:t>行业类别</w:t>
            </w:r>
          </w:p>
        </w:tc>
        <w:tc>
          <w:tcPr>
            <w:tcW w:w="2454"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C42废弃资源</w:t>
            </w:r>
          </w:p>
          <w:p>
            <w:pPr>
              <w:snapToGrid w:val="0"/>
              <w:jc w:val="center"/>
              <w:rPr>
                <w:rFonts w:ascii="Times New Roman" w:hAnsi="Times New Roman" w:eastAsia="宋体" w:cs="Times New Roman"/>
                <w:sz w:val="24"/>
              </w:rPr>
            </w:pPr>
            <w:r>
              <w:rPr>
                <w:rFonts w:ascii="Times New Roman" w:hAnsi="Times New Roman" w:eastAsia="宋体" w:cs="Times New Roman"/>
                <w:sz w:val="24"/>
              </w:rPr>
              <w:t>综合利用业/G5949</w:t>
            </w:r>
            <w:r>
              <w:rPr>
                <w:rFonts w:ascii="宋体" w:hAnsi="宋体" w:eastAsia="宋体" w:cs="宋体"/>
                <w:sz w:val="24"/>
              </w:rPr>
              <w:t>其他危险品仓储</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建设项目</w:t>
            </w:r>
          </w:p>
          <w:p>
            <w:pPr>
              <w:snapToGrid w:val="0"/>
              <w:jc w:val="center"/>
              <w:rPr>
                <w:rFonts w:ascii="Times New Roman" w:hAnsi="Times New Roman" w:eastAsia="宋体" w:cs="Times New Roman"/>
                <w:sz w:val="24"/>
              </w:rPr>
            </w:pPr>
            <w:r>
              <w:rPr>
                <w:rFonts w:ascii="Times New Roman" w:hAnsi="Times New Roman" w:eastAsia="宋体" w:cs="Times New Roman"/>
                <w:sz w:val="24"/>
              </w:rPr>
              <w:t>行业类别</w:t>
            </w:r>
          </w:p>
        </w:tc>
        <w:tc>
          <w:tcPr>
            <w:tcW w:w="2933"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三十九、废弃资源综合利</w:t>
            </w:r>
            <w:r>
              <w:rPr>
                <w:rFonts w:hint="eastAsia" w:ascii="Times New Roman" w:hAnsi="Times New Roman" w:eastAsia="宋体" w:cs="Times New Roman"/>
                <w:spacing w:val="-11"/>
                <w:sz w:val="24"/>
              </w:rPr>
              <w:t>用业、</w:t>
            </w:r>
            <w:r>
              <w:rPr>
                <w:rFonts w:ascii="Times New Roman" w:hAnsi="Times New Roman" w:eastAsia="宋体" w:cs="Times New Roman"/>
                <w:spacing w:val="-11"/>
                <w:sz w:val="24"/>
              </w:rPr>
              <w:t xml:space="preserve">85 </w:t>
            </w:r>
            <w:r>
              <w:rPr>
                <w:rFonts w:hint="eastAsia" w:ascii="Times New Roman" w:hAnsi="Times New Roman" w:eastAsia="宋体" w:cs="Times New Roman"/>
                <w:spacing w:val="-11"/>
                <w:sz w:val="24"/>
              </w:rPr>
              <w:t>废机动车加工处</w:t>
            </w:r>
            <w:r>
              <w:rPr>
                <w:rFonts w:hint="eastAsia" w:ascii="Times New Roman" w:hAnsi="Times New Roman" w:eastAsia="宋体" w:cs="Times New Roman"/>
                <w:sz w:val="24"/>
              </w:rPr>
              <w:t>理</w:t>
            </w:r>
          </w:p>
          <w:p>
            <w:pPr>
              <w:snapToGrid w:val="0"/>
              <w:jc w:val="center"/>
            </w:pPr>
            <w:r>
              <w:rPr>
                <w:rFonts w:hint="eastAsia" w:ascii="Times New Roman" w:hAnsi="Times New Roman" w:eastAsia="宋体" w:cs="Times New Roman"/>
                <w:sz w:val="24"/>
              </w:rPr>
              <w:t>五十三、装卸搬运和仓储业、149、危险品仓储594（</w:t>
            </w:r>
            <w:r>
              <w:rPr>
                <w:rFonts w:ascii="Times New Roman" w:hAnsi="Times New Roman" w:eastAsia="宋体" w:cs="Times New Roman"/>
                <w:sz w:val="24"/>
              </w:rPr>
              <w:t>不含加油站油库；不含加气站的气库的）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建设性质</w:t>
            </w:r>
          </w:p>
        </w:tc>
        <w:tc>
          <w:tcPr>
            <w:tcW w:w="2454" w:type="dxa"/>
            <w:vAlign w:val="center"/>
          </w:tcPr>
          <w:p>
            <w:pPr>
              <w:jc w:val="left"/>
              <w:rPr>
                <w:rFonts w:ascii="宋体" w:hAnsi="宋体" w:cs="宋体"/>
                <w:sz w:val="24"/>
              </w:rPr>
            </w:pPr>
            <w:r>
              <w:rPr>
                <w:rFonts w:hint="eastAsia" w:ascii="宋体" w:hAnsi="宋体" w:cs="宋体"/>
                <w:sz w:val="24"/>
              </w:rPr>
              <w:t>☑新建（迁建）</w:t>
            </w:r>
          </w:p>
          <w:p>
            <w:pPr>
              <w:jc w:val="left"/>
              <w:rPr>
                <w:rFonts w:ascii="宋体" w:hAnsi="宋体" w:cs="宋体"/>
                <w:sz w:val="24"/>
              </w:rPr>
            </w:pPr>
            <w:r>
              <w:rPr>
                <w:rFonts w:hint="eastAsia" w:ascii="宋体" w:hAnsi="宋体" w:cs="宋体"/>
                <w:sz w:val="24"/>
              </w:rPr>
              <w:t>□改建</w:t>
            </w:r>
          </w:p>
          <w:p>
            <w:pPr>
              <w:jc w:val="left"/>
              <w:rPr>
                <w:rFonts w:ascii="宋体" w:hAnsi="宋体" w:cs="宋体"/>
                <w:sz w:val="24"/>
              </w:rPr>
            </w:pPr>
            <w:r>
              <w:rPr>
                <w:rFonts w:hint="eastAsia" w:ascii="宋体" w:hAnsi="宋体" w:cs="宋体"/>
                <w:sz w:val="24"/>
              </w:rPr>
              <w:t>□扩建</w:t>
            </w:r>
          </w:p>
          <w:p>
            <w:pPr>
              <w:snapToGrid w:val="0"/>
              <w:jc w:val="left"/>
              <w:rPr>
                <w:rFonts w:ascii="Times New Roman" w:hAnsi="Times New Roman" w:eastAsia="宋体" w:cs="Times New Roman"/>
                <w:sz w:val="24"/>
              </w:rPr>
            </w:pPr>
            <w:r>
              <w:rPr>
                <w:rFonts w:hint="eastAsia" w:ascii="宋体" w:hAnsi="宋体" w:cs="宋体"/>
                <w:sz w:val="24"/>
              </w:rPr>
              <w:t>□技术改造</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建设项目</w:t>
            </w:r>
          </w:p>
          <w:p>
            <w:pPr>
              <w:snapToGrid w:val="0"/>
              <w:jc w:val="center"/>
              <w:rPr>
                <w:rFonts w:ascii="Times New Roman" w:hAnsi="Times New Roman" w:eastAsia="宋体" w:cs="Times New Roman"/>
                <w:sz w:val="24"/>
              </w:rPr>
            </w:pPr>
            <w:r>
              <w:rPr>
                <w:rFonts w:ascii="Times New Roman" w:hAnsi="Times New Roman" w:eastAsia="宋体" w:cs="Times New Roman"/>
                <w:sz w:val="24"/>
              </w:rPr>
              <w:t>申报情况</w:t>
            </w:r>
          </w:p>
        </w:tc>
        <w:tc>
          <w:tcPr>
            <w:tcW w:w="2933" w:type="dxa"/>
            <w:vAlign w:val="center"/>
          </w:tcPr>
          <w:p>
            <w:pPr>
              <w:jc w:val="left"/>
              <w:rPr>
                <w:rFonts w:ascii="宋体" w:hAnsi="宋体" w:cs="宋体"/>
                <w:sz w:val="24"/>
              </w:rPr>
            </w:pPr>
            <w:r>
              <w:rPr>
                <w:rFonts w:hint="eastAsia" w:ascii="宋体" w:hAnsi="宋体" w:cs="宋体"/>
                <w:sz w:val="24"/>
              </w:rPr>
              <w:t>☑首次申报项目</w:t>
            </w:r>
          </w:p>
          <w:p>
            <w:pPr>
              <w:jc w:val="left"/>
              <w:rPr>
                <w:rFonts w:ascii="宋体" w:hAnsi="宋体" w:cs="宋体"/>
                <w:spacing w:val="-11"/>
                <w:sz w:val="24"/>
              </w:rPr>
            </w:pPr>
            <w:r>
              <w:rPr>
                <w:rFonts w:hint="eastAsia" w:ascii="宋体" w:hAnsi="宋体" w:cs="宋体"/>
                <w:sz w:val="24"/>
              </w:rPr>
              <w:t>□</w:t>
            </w:r>
            <w:r>
              <w:rPr>
                <w:rFonts w:hint="eastAsia" w:ascii="宋体" w:hAnsi="宋体" w:cs="宋体"/>
                <w:spacing w:val="-11"/>
                <w:sz w:val="24"/>
              </w:rPr>
              <w:t>不予批准后再次申报项目</w:t>
            </w:r>
          </w:p>
          <w:p>
            <w:pPr>
              <w:jc w:val="left"/>
              <w:rPr>
                <w:rFonts w:ascii="宋体" w:hAnsi="宋体" w:cs="宋体"/>
                <w:sz w:val="24"/>
              </w:rPr>
            </w:pPr>
            <w:r>
              <w:rPr>
                <w:rFonts w:hint="eastAsia" w:ascii="宋体" w:hAnsi="宋体" w:cs="宋体"/>
                <w:sz w:val="24"/>
              </w:rPr>
              <w:t>□超五年重新审核项目</w:t>
            </w:r>
          </w:p>
          <w:p>
            <w:pPr>
              <w:snapToGrid w:val="0"/>
              <w:spacing w:line="280" w:lineRule="exact"/>
              <w:jc w:val="left"/>
              <w:rPr>
                <w:rFonts w:ascii="Times New Roman" w:hAnsi="Times New Roman" w:eastAsia="宋体" w:cs="Times New Roman"/>
                <w:spacing w:val="-1"/>
                <w:sz w:val="24"/>
              </w:rPr>
            </w:pPr>
            <w:r>
              <w:rPr>
                <w:rFonts w:hint="eastAsia" w:ascii="宋体" w:hAnsi="宋体" w:cs="宋体"/>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项目审批（核准/备案</w:t>
            </w:r>
            <w:r>
              <w:rPr>
                <w:rFonts w:hint="eastAsia" w:ascii="Times New Roman" w:hAnsi="Times New Roman" w:eastAsia="宋体" w:cs="Times New Roman"/>
                <w:sz w:val="24"/>
              </w:rPr>
              <w:t>)</w:t>
            </w:r>
            <w:r>
              <w:rPr>
                <w:rFonts w:ascii="Times New Roman" w:hAnsi="Times New Roman" w:eastAsia="宋体" w:cs="Times New Roman"/>
                <w:sz w:val="24"/>
              </w:rPr>
              <w:t>部门</w:t>
            </w:r>
            <w:r>
              <w:rPr>
                <w:rFonts w:hint="eastAsia" w:ascii="Times New Roman" w:hAnsi="Times New Roman" w:eastAsia="宋体" w:cs="Times New Roman"/>
                <w:sz w:val="24"/>
              </w:rPr>
              <w:t>(</w:t>
            </w:r>
            <w:r>
              <w:rPr>
                <w:rFonts w:ascii="Times New Roman" w:hAnsi="Times New Roman" w:eastAsia="宋体" w:cs="Times New Roman"/>
                <w:sz w:val="24"/>
              </w:rPr>
              <w:t>选填</w:t>
            </w:r>
            <w:r>
              <w:rPr>
                <w:rFonts w:hint="eastAsia" w:ascii="Times New Roman" w:hAnsi="Times New Roman" w:eastAsia="宋体" w:cs="Times New Roman"/>
                <w:sz w:val="24"/>
              </w:rPr>
              <w:t>)</w:t>
            </w:r>
          </w:p>
        </w:tc>
        <w:tc>
          <w:tcPr>
            <w:tcW w:w="2454"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项目审批（核准/备案）文号（选填）</w:t>
            </w:r>
          </w:p>
        </w:tc>
        <w:tc>
          <w:tcPr>
            <w:tcW w:w="2933"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总投资（万元）</w:t>
            </w:r>
          </w:p>
        </w:tc>
        <w:tc>
          <w:tcPr>
            <w:tcW w:w="2454"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1000</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环保投资</w:t>
            </w:r>
          </w:p>
          <w:p>
            <w:pPr>
              <w:snapToGrid w:val="0"/>
              <w:jc w:val="center"/>
              <w:rPr>
                <w:rFonts w:ascii="Times New Roman" w:hAnsi="Times New Roman" w:eastAsia="宋体" w:cs="Times New Roman"/>
                <w:sz w:val="24"/>
              </w:rPr>
            </w:pPr>
            <w:r>
              <w:rPr>
                <w:rFonts w:ascii="Times New Roman" w:hAnsi="Times New Roman" w:eastAsia="宋体" w:cs="Times New Roman"/>
                <w:sz w:val="24"/>
              </w:rPr>
              <w:t>（万元）</w:t>
            </w:r>
          </w:p>
        </w:tc>
        <w:tc>
          <w:tcPr>
            <w:tcW w:w="2933" w:type="dxa"/>
            <w:vAlign w:val="center"/>
          </w:tcPr>
          <w:p>
            <w:pPr>
              <w:snapToGrid w:val="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5</w:t>
            </w:r>
            <w:r>
              <w:rPr>
                <w:rFonts w:hint="eastAsia" w:ascii="Times New Roman" w:hAnsi="Times New Roman" w:eastAsia="宋体"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环保投资占比（%）</w:t>
            </w:r>
          </w:p>
        </w:tc>
        <w:tc>
          <w:tcPr>
            <w:tcW w:w="2454"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5</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施工工期</w:t>
            </w:r>
          </w:p>
        </w:tc>
        <w:tc>
          <w:tcPr>
            <w:tcW w:w="2933"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是否开工建设</w:t>
            </w:r>
          </w:p>
        </w:tc>
        <w:tc>
          <w:tcPr>
            <w:tcW w:w="2454" w:type="dxa"/>
            <w:vAlign w:val="center"/>
          </w:tcPr>
          <w:p>
            <w:pPr>
              <w:adjustRightInd w:val="0"/>
              <w:snapToGrid w:val="0"/>
              <w:rPr>
                <w:rFonts w:ascii="宋体" w:hAnsi="宋体" w:cs="宋体"/>
                <w:sz w:val="24"/>
              </w:rPr>
            </w:pPr>
            <w:r>
              <w:rPr>
                <w:rFonts w:hint="eastAsia" w:ascii="宋体" w:hAnsi="宋体" w:cs="宋体"/>
                <w:sz w:val="24"/>
              </w:rPr>
              <w:t>☑否</w:t>
            </w:r>
          </w:p>
          <w:p>
            <w:pPr>
              <w:snapToGrid w:val="0"/>
              <w:jc w:val="left"/>
              <w:rPr>
                <w:rFonts w:ascii="Times New Roman" w:hAnsi="Times New Roman" w:cs="Times New Roman"/>
                <w:sz w:val="24"/>
              </w:rPr>
            </w:pPr>
            <w:r>
              <w:rPr>
                <w:rFonts w:hint="eastAsia" w:ascii="宋体" w:hAnsi="宋体" w:cs="宋体"/>
                <w:sz w:val="24"/>
              </w:rPr>
              <w:t>□是</w:t>
            </w:r>
          </w:p>
        </w:tc>
        <w:tc>
          <w:tcPr>
            <w:tcW w:w="1575"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用地（用海）面积（m</w:t>
            </w:r>
            <w:r>
              <w:rPr>
                <w:rFonts w:ascii="Times New Roman" w:hAnsi="Times New Roman" w:eastAsia="宋体" w:cs="Times New Roman"/>
                <w:sz w:val="24"/>
                <w:vertAlign w:val="superscript"/>
              </w:rPr>
              <w:t>2</w:t>
            </w:r>
            <w:r>
              <w:rPr>
                <w:rFonts w:ascii="Times New Roman" w:hAnsi="Times New Roman" w:eastAsia="宋体" w:cs="Times New Roman"/>
                <w:sz w:val="24"/>
              </w:rPr>
              <w:t>）</w:t>
            </w:r>
          </w:p>
        </w:tc>
        <w:tc>
          <w:tcPr>
            <w:tcW w:w="2933"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10114.9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专项评价</w:t>
            </w:r>
          </w:p>
          <w:p>
            <w:pPr>
              <w:snapToGrid w:val="0"/>
              <w:jc w:val="center"/>
              <w:rPr>
                <w:rFonts w:ascii="Times New Roman" w:hAnsi="Times New Roman" w:eastAsia="宋体" w:cs="Times New Roman"/>
                <w:sz w:val="24"/>
              </w:rPr>
            </w:pPr>
            <w:r>
              <w:rPr>
                <w:rFonts w:ascii="Times New Roman" w:hAnsi="Times New Roman" w:eastAsia="宋体" w:cs="Times New Roman"/>
                <w:sz w:val="24"/>
              </w:rPr>
              <w:t>设置情况</w:t>
            </w:r>
          </w:p>
        </w:tc>
        <w:tc>
          <w:tcPr>
            <w:tcW w:w="6962" w:type="dxa"/>
            <w:gridSpan w:val="3"/>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规划情况</w:t>
            </w:r>
          </w:p>
        </w:tc>
        <w:tc>
          <w:tcPr>
            <w:tcW w:w="6962" w:type="dxa"/>
            <w:gridSpan w:val="3"/>
            <w:vAlign w:val="center"/>
          </w:tcPr>
          <w:p>
            <w:pPr>
              <w:snapToGrid w:val="0"/>
              <w:jc w:val="left"/>
            </w:pPr>
          </w:p>
          <w:p>
            <w:pPr>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color w:val="000000" w:themeColor="text1"/>
                <w:sz w:val="24"/>
              </w:rPr>
              <w:t>本项目位于吉林白城工业园区的机械及建材加工园区。</w:t>
            </w:r>
          </w:p>
          <w:p>
            <w:pPr>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吉林白城工业园区是吉林省政府于</w:t>
            </w:r>
            <w:r>
              <w:rPr>
                <w:rFonts w:ascii="Times New Roman" w:hAnsi="Times New Roman" w:eastAsia="宋体" w:cs="Times New Roman"/>
                <w:sz w:val="24"/>
              </w:rPr>
              <w:t>2005</w:t>
            </w:r>
            <w:r>
              <w:rPr>
                <w:rFonts w:hint="eastAsia" w:ascii="Times New Roman" w:hAnsi="Times New Roman" w:eastAsia="宋体" w:cs="Times New Roman"/>
                <w:sz w:val="24"/>
              </w:rPr>
              <w:t>年</w:t>
            </w:r>
            <w:r>
              <w:rPr>
                <w:rFonts w:ascii="Times New Roman" w:hAnsi="Times New Roman" w:eastAsia="宋体" w:cs="Times New Roman"/>
                <w:sz w:val="24"/>
              </w:rPr>
              <w:t>10</w:t>
            </w:r>
            <w:r>
              <w:rPr>
                <w:rFonts w:hint="eastAsia" w:ascii="Times New Roman" w:hAnsi="Times New Roman" w:eastAsia="宋体" w:cs="Times New Roman"/>
                <w:sz w:val="24"/>
              </w:rPr>
              <w:t>月以《关于对设立吉林白城工业园区（工业集中区）等进行备案的复函》中批准成立的开发区，位于白城市东南部，长白路以东，图乌公路以北，兴海街以西，松江路以南，规划面积为</w:t>
            </w:r>
            <w:r>
              <w:rPr>
                <w:rFonts w:ascii="Times New Roman" w:hAnsi="Times New Roman" w:eastAsia="宋体" w:cs="Times New Roman"/>
                <w:sz w:val="24"/>
              </w:rPr>
              <w:t>21.5km</w:t>
            </w:r>
            <w:r>
              <w:rPr>
                <w:rFonts w:ascii="Times New Roman" w:hAnsi="Times New Roman" w:eastAsia="宋体" w:cs="Times New Roman"/>
                <w:sz w:val="24"/>
                <w:vertAlign w:val="superscript"/>
              </w:rPr>
              <w:t>2</w:t>
            </w:r>
            <w:r>
              <w:rPr>
                <w:rFonts w:hint="eastAsia" w:ascii="Times New Roman" w:hAnsi="Times New Roman" w:eastAsia="宋体" w:cs="Times New Roman"/>
                <w:sz w:val="24"/>
              </w:rPr>
              <w:t>，命名为“白城工业园区”，吉林白城工业园区区域环评于</w:t>
            </w:r>
            <w:r>
              <w:rPr>
                <w:rFonts w:ascii="Times New Roman" w:hAnsi="Times New Roman" w:eastAsia="宋体" w:cs="Times New Roman"/>
                <w:sz w:val="24"/>
              </w:rPr>
              <w:t>2008</w:t>
            </w:r>
            <w:r>
              <w:rPr>
                <w:rFonts w:hint="eastAsia" w:ascii="Times New Roman" w:hAnsi="Times New Roman" w:eastAsia="宋体" w:cs="Times New Roman"/>
                <w:sz w:val="24"/>
              </w:rPr>
              <w:t>年</w:t>
            </w:r>
            <w:r>
              <w:rPr>
                <w:rFonts w:ascii="Times New Roman" w:hAnsi="Times New Roman" w:eastAsia="宋体" w:cs="Times New Roman"/>
                <w:sz w:val="24"/>
              </w:rPr>
              <w:t>4</w:t>
            </w:r>
            <w:r>
              <w:rPr>
                <w:rFonts w:hint="eastAsia" w:ascii="Times New Roman" w:hAnsi="Times New Roman" w:eastAsia="宋体" w:cs="Times New Roman"/>
                <w:sz w:val="24"/>
              </w:rPr>
              <w:t>月以吉林省环境保护局吉环建字</w:t>
            </w:r>
            <w:r>
              <w:rPr>
                <w:rFonts w:ascii="Times New Roman" w:hAnsi="Times New Roman" w:eastAsia="宋体" w:cs="Times New Roman"/>
                <w:sz w:val="24"/>
              </w:rPr>
              <w:t>[2008]76</w:t>
            </w:r>
            <w:r>
              <w:rPr>
                <w:rFonts w:hint="eastAsia" w:ascii="Times New Roman" w:hAnsi="Times New Roman" w:eastAsia="宋体" w:cs="Times New Roman"/>
                <w:sz w:val="24"/>
              </w:rPr>
              <w:t>号文予以批复。吉林白城工业园区于</w:t>
            </w:r>
            <w:r>
              <w:rPr>
                <w:rFonts w:ascii="Times New Roman" w:hAnsi="Times New Roman" w:eastAsia="宋体" w:cs="Times New Roman"/>
                <w:sz w:val="24"/>
              </w:rPr>
              <w:t>2012</w:t>
            </w:r>
            <w:r>
              <w:rPr>
                <w:rFonts w:hint="eastAsia" w:ascii="Times New Roman" w:hAnsi="Times New Roman" w:eastAsia="宋体" w:cs="Times New Roman"/>
                <w:sz w:val="24"/>
              </w:rPr>
              <w:t>年</w:t>
            </w:r>
            <w:r>
              <w:rPr>
                <w:rFonts w:ascii="Times New Roman" w:hAnsi="Times New Roman" w:eastAsia="宋体" w:cs="Times New Roman"/>
                <w:sz w:val="24"/>
              </w:rPr>
              <w:t>1</w:t>
            </w:r>
            <w:r>
              <w:rPr>
                <w:rFonts w:hint="eastAsia" w:ascii="Times New Roman" w:hAnsi="Times New Roman" w:eastAsia="宋体" w:cs="Times New Roman"/>
                <w:sz w:val="24"/>
              </w:rPr>
              <w:t>月以吉政函</w:t>
            </w:r>
            <w:r>
              <w:rPr>
                <w:rFonts w:ascii="Times New Roman" w:hAnsi="Times New Roman" w:eastAsia="宋体" w:cs="Times New Roman"/>
                <w:sz w:val="24"/>
              </w:rPr>
              <w:t>[2012]11</w:t>
            </w:r>
            <w:r>
              <w:rPr>
                <w:rFonts w:hint="eastAsia" w:ascii="Times New Roman" w:hAnsi="Times New Roman" w:eastAsia="宋体" w:cs="Times New Roman"/>
                <w:sz w:val="24"/>
              </w:rPr>
              <w:t>号《吉林省人民政府关于长春国际物流园区等</w:t>
            </w:r>
            <w:r>
              <w:rPr>
                <w:rFonts w:ascii="Times New Roman" w:hAnsi="Times New Roman" w:eastAsia="宋体" w:cs="Times New Roman"/>
                <w:sz w:val="24"/>
              </w:rPr>
              <w:t>13</w:t>
            </w:r>
            <w:r>
              <w:rPr>
                <w:rFonts w:hint="eastAsia" w:ascii="Times New Roman" w:hAnsi="Times New Roman" w:eastAsia="宋体" w:cs="Times New Roman"/>
                <w:sz w:val="24"/>
              </w:rPr>
              <w:t>家工业集中区晋升为省级开发区的通知》批准吉林白城工业园区为省级开发区并命名为“吉林白城工业园区”。</w:t>
            </w:r>
          </w:p>
          <w:p>
            <w:pPr>
              <w:snapToGrid w:val="0"/>
              <w:spacing w:line="360" w:lineRule="auto"/>
              <w:ind w:firstLine="480" w:firstLineChars="200"/>
              <w:jc w:val="left"/>
              <w:rPr>
                <w:rFonts w:ascii="宋体" w:hAnsi="宋体" w:eastAsia="宋体" w:cs="宋体"/>
                <w:color w:val="000000"/>
                <w:kern w:val="0"/>
                <w:sz w:val="24"/>
                <w:u w:val="single"/>
              </w:rPr>
            </w:pPr>
            <w:r>
              <w:rPr>
                <w:rFonts w:ascii="Times New Roman" w:hAnsi="Times New Roman" w:cs="Times New Roman"/>
                <w:sz w:val="24"/>
                <w:u w:val="single"/>
                <w:lang w:val="zh-CN"/>
              </w:rPr>
              <w:t>吉林白城工业园区主要产业定位为重点发展农产品加工区、机械及建材加工园区，</w:t>
            </w:r>
            <w:r>
              <w:rPr>
                <w:rFonts w:hint="eastAsia" w:ascii="宋体" w:hAnsi="宋体" w:eastAsia="宋体" w:cs="宋体"/>
                <w:color w:val="000000"/>
                <w:kern w:val="0"/>
                <w:sz w:val="24"/>
                <w:u w:val="single"/>
              </w:rPr>
              <w:t>共设有</w:t>
            </w:r>
            <w:r>
              <w:rPr>
                <w:rFonts w:ascii="Times New Roman" w:hAnsi="Times New Roman" w:eastAsia="宋体" w:cs="Times New Roman"/>
                <w:color w:val="000000"/>
                <w:kern w:val="0"/>
                <w:sz w:val="24"/>
                <w:u w:val="single"/>
              </w:rPr>
              <w:t>7</w:t>
            </w:r>
            <w:r>
              <w:rPr>
                <w:rFonts w:hint="eastAsia" w:ascii="宋体" w:hAnsi="宋体" w:eastAsia="宋体" w:cs="宋体"/>
                <w:color w:val="000000"/>
                <w:kern w:val="0"/>
                <w:sz w:val="24"/>
                <w:u w:val="single"/>
              </w:rPr>
              <w:t>个园区：农产品加工业、机加与建材业、化工业、轻工业、冶金业、医药制品工业、仓储业。以发展建材业为龙头，要形成以塑钢门窗、塑铝、玻璃钢产业为龙头及配套产品；以轻质墙板、混凝土砌块为主的新型墙体材料；以轻钢结构建筑材料工业化生产， 标准化制作，产业化发展。以膨润士无机非金属矿物材料、太阳能、地热、节能环保新型材料，发展成高新技术、高附加值产业群。具体如下。</w:t>
            </w:r>
          </w:p>
          <w:p>
            <w:pPr>
              <w:pStyle w:val="2"/>
              <w:ind w:firstLine="482"/>
              <w:rPr>
                <w:rFonts w:eastAsia="宋体"/>
                <w:b/>
                <w:bCs/>
                <w:color w:val="000000"/>
                <w:kern w:val="0"/>
                <w:sz w:val="24"/>
                <w:szCs w:val="24"/>
                <w:u w:val="single"/>
              </w:rPr>
            </w:pPr>
            <w:r>
              <w:rPr>
                <w:rFonts w:hint="eastAsia"/>
                <w:b/>
                <w:bCs/>
                <w:color w:val="000000" w:themeColor="text1"/>
                <w:sz w:val="24"/>
                <w:szCs w:val="24"/>
                <w:u w:val="single"/>
              </w:rPr>
              <w:t>表1  本项目与吉林白城工业园区的功能分区位置关系</w:t>
            </w:r>
          </w:p>
          <w:tbl>
            <w:tblPr>
              <w:tblStyle w:val="26"/>
              <w:tblW w:w="6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358"/>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Borders>
                    <w:top w:val="single" w:color="auto" w:sz="12" w:space="0"/>
                  </w:tcBorders>
                </w:tcPr>
                <w:p>
                  <w:pPr>
                    <w:pStyle w:val="3"/>
                    <w:spacing w:before="62" w:after="62"/>
                    <w:jc w:val="center"/>
                    <w:rPr>
                      <w:rFonts w:eastAsia="宋体"/>
                      <w:b/>
                      <w:bCs/>
                      <w:color w:val="000000"/>
                      <w:sz w:val="21"/>
                      <w:szCs w:val="21"/>
                      <w:u w:val="single"/>
                    </w:rPr>
                  </w:pPr>
                </w:p>
              </w:tc>
              <w:tc>
                <w:tcPr>
                  <w:tcW w:w="3358" w:type="dxa"/>
                  <w:tcBorders>
                    <w:top w:val="single" w:color="auto" w:sz="12" w:space="0"/>
                  </w:tcBorders>
                </w:tcPr>
                <w:p>
                  <w:pPr>
                    <w:pStyle w:val="3"/>
                    <w:spacing w:before="62" w:after="62"/>
                    <w:jc w:val="center"/>
                    <w:rPr>
                      <w:rFonts w:eastAsia="宋体"/>
                      <w:b/>
                      <w:bCs/>
                      <w:color w:val="000000"/>
                      <w:sz w:val="21"/>
                      <w:szCs w:val="21"/>
                      <w:u w:val="single"/>
                    </w:rPr>
                  </w:pPr>
                  <w:r>
                    <w:rPr>
                      <w:rFonts w:hint="eastAsia" w:eastAsia="宋体"/>
                      <w:b/>
                      <w:bCs/>
                      <w:color w:val="000000"/>
                      <w:sz w:val="21"/>
                      <w:szCs w:val="21"/>
                      <w:u w:val="single"/>
                    </w:rPr>
                    <w:t>规划内容</w:t>
                  </w:r>
                </w:p>
              </w:tc>
              <w:tc>
                <w:tcPr>
                  <w:tcW w:w="2249" w:type="dxa"/>
                  <w:tcBorders>
                    <w:top w:val="single" w:color="auto" w:sz="12" w:space="0"/>
                    <w:right w:val="nil"/>
                  </w:tcBorders>
                </w:tcPr>
                <w:p>
                  <w:pPr>
                    <w:pStyle w:val="3"/>
                    <w:spacing w:before="62" w:after="62"/>
                    <w:jc w:val="center"/>
                    <w:rPr>
                      <w:rFonts w:eastAsia="宋体"/>
                      <w:b/>
                      <w:bCs/>
                      <w:color w:val="000000"/>
                      <w:sz w:val="21"/>
                      <w:szCs w:val="21"/>
                      <w:u w:val="single"/>
                    </w:rPr>
                  </w:pPr>
                  <w:r>
                    <w:rPr>
                      <w:rFonts w:hint="eastAsia" w:eastAsia="宋体"/>
                      <w:b/>
                      <w:bCs/>
                      <w:color w:val="000000"/>
                      <w:sz w:val="21"/>
                      <w:szCs w:val="21"/>
                      <w:u w:val="single"/>
                    </w:rPr>
                    <w:t>本项目与规划相符性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tcBorders>
                    <w:left w:val="nil"/>
                  </w:tcBorders>
                </w:tcPr>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p>
                <w:p>
                  <w:pPr>
                    <w:pStyle w:val="3"/>
                    <w:spacing w:before="62" w:after="62"/>
                    <w:jc w:val="center"/>
                    <w:rPr>
                      <w:rFonts w:eastAsia="宋体"/>
                      <w:color w:val="000000"/>
                      <w:sz w:val="21"/>
                      <w:szCs w:val="21"/>
                      <w:u w:val="single"/>
                    </w:rPr>
                  </w:pPr>
                  <w:r>
                    <w:rPr>
                      <w:rFonts w:hint="eastAsia" w:eastAsia="宋体"/>
                      <w:color w:val="000000"/>
                      <w:sz w:val="21"/>
                      <w:szCs w:val="21"/>
                      <w:u w:val="single"/>
                    </w:rPr>
                    <w:t>功</w:t>
                  </w:r>
                </w:p>
                <w:p>
                  <w:pPr>
                    <w:pStyle w:val="3"/>
                    <w:spacing w:before="62" w:after="62"/>
                    <w:jc w:val="center"/>
                    <w:rPr>
                      <w:rFonts w:eastAsia="宋体"/>
                      <w:color w:val="000000"/>
                      <w:sz w:val="21"/>
                      <w:szCs w:val="21"/>
                      <w:u w:val="single"/>
                    </w:rPr>
                  </w:pPr>
                  <w:r>
                    <w:rPr>
                      <w:rFonts w:hint="eastAsia" w:eastAsia="宋体"/>
                      <w:color w:val="000000"/>
                      <w:sz w:val="21"/>
                      <w:szCs w:val="21"/>
                      <w:u w:val="single"/>
                    </w:rPr>
                    <w:t>能</w:t>
                  </w:r>
                </w:p>
                <w:p>
                  <w:pPr>
                    <w:pStyle w:val="3"/>
                    <w:spacing w:before="62" w:after="62"/>
                    <w:jc w:val="center"/>
                    <w:rPr>
                      <w:rFonts w:eastAsia="宋体"/>
                      <w:color w:val="000000"/>
                      <w:sz w:val="21"/>
                      <w:szCs w:val="21"/>
                      <w:u w:val="single"/>
                    </w:rPr>
                  </w:pPr>
                  <w:r>
                    <w:rPr>
                      <w:rFonts w:hint="eastAsia" w:eastAsia="宋体"/>
                      <w:color w:val="000000"/>
                      <w:sz w:val="21"/>
                      <w:szCs w:val="21"/>
                      <w:u w:val="single"/>
                    </w:rPr>
                    <w:t>分</w:t>
                  </w:r>
                </w:p>
                <w:p>
                  <w:pPr>
                    <w:pStyle w:val="3"/>
                    <w:spacing w:before="62" w:after="62"/>
                    <w:jc w:val="center"/>
                    <w:rPr>
                      <w:rFonts w:eastAsia="宋体"/>
                      <w:color w:val="000000"/>
                      <w:sz w:val="21"/>
                      <w:szCs w:val="21"/>
                      <w:u w:val="single"/>
                    </w:rPr>
                  </w:pPr>
                  <w:r>
                    <w:rPr>
                      <w:rFonts w:hint="eastAsia" w:eastAsia="宋体"/>
                      <w:color w:val="000000"/>
                      <w:sz w:val="21"/>
                      <w:szCs w:val="21"/>
                      <w:u w:val="single"/>
                    </w:rPr>
                    <w:t>区</w:t>
                  </w:r>
                </w:p>
              </w:tc>
              <w:tc>
                <w:tcPr>
                  <w:tcW w:w="3358" w:type="dxa"/>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（一）农产品加工区：充分发挥园区农产品加工产业聚集优势，大力推进特色农产品资源转化、农副产品精深加工，生态健康食品综合利用与开发，打造生态特色品牌，形成产业特色优势；</w:t>
                  </w:r>
                </w:p>
              </w:tc>
              <w:tc>
                <w:tcPr>
                  <w:tcW w:w="2249" w:type="dxa"/>
                  <w:vMerge w:val="restart"/>
                  <w:tcBorders>
                    <w:right w:val="nil"/>
                  </w:tcBorders>
                </w:tcPr>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p>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本项目位于机械及建材加工园区，不属于限制类项目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tcBorders>
                    <w:left w:val="nil"/>
                  </w:tcBorders>
                </w:tcPr>
                <w:p>
                  <w:pPr>
                    <w:pStyle w:val="3"/>
                    <w:spacing w:before="62" w:after="62"/>
                    <w:jc w:val="center"/>
                    <w:rPr>
                      <w:rFonts w:eastAsia="宋体"/>
                      <w:color w:val="000000"/>
                      <w:sz w:val="21"/>
                      <w:szCs w:val="21"/>
                      <w:u w:val="single"/>
                    </w:rPr>
                  </w:pPr>
                </w:p>
              </w:tc>
              <w:tc>
                <w:tcPr>
                  <w:tcW w:w="3358" w:type="dxa"/>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（二）机械及建材加工园区：以新能源装备制造为产业主导，同时发展新型建材、汽车零部件等产业，集生产、研发等功能于一体的园区；</w:t>
                  </w:r>
                </w:p>
              </w:tc>
              <w:tc>
                <w:tcPr>
                  <w:tcW w:w="2249" w:type="dxa"/>
                  <w:vMerge w:val="continue"/>
                  <w:tcBorders>
                    <w:right w:val="nil"/>
                  </w:tcBorders>
                </w:tcPr>
                <w:p>
                  <w:pPr>
                    <w:pStyle w:val="3"/>
                    <w:spacing w:before="62" w:after="62"/>
                    <w:jc w:val="center"/>
                    <w:rPr>
                      <w:rFonts w:eastAsia="宋体"/>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tcBorders>
                    <w:left w:val="nil"/>
                  </w:tcBorders>
                </w:tcPr>
                <w:p>
                  <w:pPr>
                    <w:pStyle w:val="3"/>
                    <w:spacing w:before="62" w:after="62"/>
                    <w:jc w:val="center"/>
                    <w:rPr>
                      <w:rFonts w:eastAsia="宋体"/>
                      <w:color w:val="000000"/>
                      <w:sz w:val="21"/>
                      <w:szCs w:val="21"/>
                      <w:u w:val="single"/>
                    </w:rPr>
                  </w:pPr>
                </w:p>
              </w:tc>
              <w:tc>
                <w:tcPr>
                  <w:tcW w:w="3358" w:type="dxa"/>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（三）化工园区：依托区域资源优势发展生物化工特色产业，同时发展氢能产业、精细化工、新材料化工等化工产业，并建立区域内生物化工创新发展示范区。</w:t>
                  </w:r>
                </w:p>
              </w:tc>
              <w:tc>
                <w:tcPr>
                  <w:tcW w:w="2249" w:type="dxa"/>
                  <w:vMerge w:val="continue"/>
                  <w:tcBorders>
                    <w:right w:val="nil"/>
                  </w:tcBorders>
                </w:tcPr>
                <w:p>
                  <w:pPr>
                    <w:pStyle w:val="3"/>
                    <w:spacing w:before="62" w:after="62"/>
                    <w:jc w:val="center"/>
                    <w:rPr>
                      <w:rFonts w:eastAsia="宋体"/>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tcBorders>
                    <w:left w:val="nil"/>
                  </w:tcBorders>
                </w:tcPr>
                <w:p>
                  <w:pPr>
                    <w:pStyle w:val="3"/>
                    <w:spacing w:before="62" w:after="62"/>
                    <w:jc w:val="center"/>
                    <w:rPr>
                      <w:rFonts w:eastAsia="宋体"/>
                      <w:color w:val="000000"/>
                      <w:sz w:val="21"/>
                      <w:szCs w:val="21"/>
                      <w:u w:val="single"/>
                    </w:rPr>
                  </w:pPr>
                </w:p>
              </w:tc>
              <w:tc>
                <w:tcPr>
                  <w:tcW w:w="3358" w:type="dxa"/>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轻工业园区：依托地方资源优势，大力发展工业耐用品及快消品产业、推进产业绿色化发展。</w:t>
                  </w:r>
                </w:p>
              </w:tc>
              <w:tc>
                <w:tcPr>
                  <w:tcW w:w="2249" w:type="dxa"/>
                  <w:vMerge w:val="continue"/>
                  <w:tcBorders>
                    <w:right w:val="nil"/>
                  </w:tcBorders>
                </w:tcPr>
                <w:p>
                  <w:pPr>
                    <w:pStyle w:val="3"/>
                    <w:spacing w:before="62" w:after="62"/>
                    <w:jc w:val="center"/>
                    <w:rPr>
                      <w:rFonts w:eastAsia="宋体"/>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tcBorders>
                    <w:left w:val="nil"/>
                  </w:tcBorders>
                </w:tcPr>
                <w:p>
                  <w:pPr>
                    <w:pStyle w:val="3"/>
                    <w:spacing w:before="62" w:after="62"/>
                    <w:jc w:val="center"/>
                    <w:rPr>
                      <w:rFonts w:eastAsia="宋体"/>
                      <w:color w:val="000000"/>
                      <w:sz w:val="21"/>
                      <w:szCs w:val="21"/>
                      <w:u w:val="single"/>
                    </w:rPr>
                  </w:pPr>
                </w:p>
              </w:tc>
              <w:tc>
                <w:tcPr>
                  <w:tcW w:w="3358" w:type="dxa"/>
                </w:tcPr>
                <w:p>
                  <w:pPr>
                    <w:widowControl/>
                    <w:jc w:val="left"/>
                    <w:rPr>
                      <w:szCs w:val="21"/>
                      <w:u w:val="single"/>
                    </w:rPr>
                  </w:pPr>
                  <w:r>
                    <w:rPr>
                      <w:rFonts w:hint="eastAsia" w:ascii="宋体" w:hAnsi="宋体" w:eastAsia="宋体" w:cs="宋体"/>
                      <w:color w:val="000000"/>
                      <w:kern w:val="0"/>
                      <w:szCs w:val="21"/>
                      <w:u w:val="single"/>
                    </w:rPr>
                    <w:t xml:space="preserve">冶金园区： </w:t>
                  </w:r>
                </w:p>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积极推广和应用现代化冶炼技术，重点发展钢铁精深加工产品、有色金属冶炼及深加工、冶金新材料、回收再生资源综合利用等，推动产业逐步向精品、绿色、智能化方向发展。</w:t>
                  </w:r>
                </w:p>
              </w:tc>
              <w:tc>
                <w:tcPr>
                  <w:tcW w:w="2249" w:type="dxa"/>
                  <w:vMerge w:val="continue"/>
                  <w:tcBorders>
                    <w:right w:val="nil"/>
                  </w:tcBorders>
                </w:tcPr>
                <w:p>
                  <w:pPr>
                    <w:pStyle w:val="3"/>
                    <w:spacing w:before="62" w:after="62"/>
                    <w:jc w:val="center"/>
                    <w:rPr>
                      <w:rFonts w:eastAsia="宋体"/>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139" w:type="dxa"/>
                  <w:vMerge w:val="continue"/>
                  <w:tcBorders>
                    <w:left w:val="nil"/>
                    <w:bottom w:val="single" w:color="auto" w:sz="12" w:space="0"/>
                  </w:tcBorders>
                </w:tcPr>
                <w:p>
                  <w:pPr>
                    <w:pStyle w:val="3"/>
                    <w:spacing w:before="62" w:after="62"/>
                    <w:jc w:val="center"/>
                    <w:rPr>
                      <w:rFonts w:eastAsia="宋体"/>
                      <w:color w:val="000000"/>
                      <w:sz w:val="21"/>
                      <w:szCs w:val="21"/>
                      <w:u w:val="single"/>
                    </w:rPr>
                  </w:pPr>
                </w:p>
              </w:tc>
              <w:tc>
                <w:tcPr>
                  <w:tcW w:w="3358" w:type="dxa"/>
                  <w:tcBorders>
                    <w:bottom w:val="single" w:color="auto" w:sz="4" w:space="0"/>
                  </w:tcBorders>
                </w:tcPr>
                <w:p>
                  <w:pPr>
                    <w:widowControl/>
                    <w:jc w:val="left"/>
                    <w:rPr>
                      <w:szCs w:val="21"/>
                      <w:u w:val="single"/>
                    </w:rPr>
                  </w:pPr>
                  <w:r>
                    <w:rPr>
                      <w:rFonts w:hint="eastAsia" w:ascii="宋体" w:hAnsi="宋体" w:eastAsia="宋体" w:cs="宋体"/>
                      <w:color w:val="000000"/>
                      <w:kern w:val="0"/>
                      <w:szCs w:val="21"/>
                      <w:u w:val="single"/>
                    </w:rPr>
                    <w:t xml:space="preserve">医药园区： </w:t>
                  </w:r>
                </w:p>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重点发展化学原料药及制剂、中药材、中药饮片、中成药、生化药品、医疗器械、卫生材料、制药机械、药用包装等产业。</w:t>
                  </w:r>
                </w:p>
              </w:tc>
              <w:tc>
                <w:tcPr>
                  <w:tcW w:w="2249" w:type="dxa"/>
                  <w:vMerge w:val="continue"/>
                  <w:tcBorders>
                    <w:bottom w:val="single" w:color="auto" w:sz="12" w:space="0"/>
                    <w:right w:val="nil"/>
                  </w:tcBorders>
                </w:tcPr>
                <w:p>
                  <w:pPr>
                    <w:pStyle w:val="3"/>
                    <w:spacing w:before="62" w:after="62"/>
                    <w:jc w:val="center"/>
                    <w:rPr>
                      <w:rFonts w:eastAsia="宋体"/>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139" w:type="dxa"/>
                  <w:vMerge w:val="continue"/>
                  <w:tcBorders>
                    <w:left w:val="nil"/>
                    <w:bottom w:val="single" w:color="auto" w:sz="12" w:space="0"/>
                  </w:tcBorders>
                </w:tcPr>
                <w:p>
                  <w:pPr>
                    <w:widowControl/>
                    <w:jc w:val="left"/>
                    <w:rPr>
                      <w:u w:val="single"/>
                    </w:rPr>
                  </w:pPr>
                </w:p>
              </w:tc>
              <w:tc>
                <w:tcPr>
                  <w:tcW w:w="3358" w:type="dxa"/>
                  <w:tcBorders>
                    <w:top w:val="single" w:color="auto" w:sz="4" w:space="0"/>
                    <w:bottom w:val="single" w:color="auto" w:sz="12" w:space="0"/>
                  </w:tcBorders>
                </w:tcPr>
                <w:p>
                  <w:pPr>
                    <w:widowControl/>
                    <w:jc w:val="left"/>
                    <w:rPr>
                      <w:szCs w:val="21"/>
                      <w:u w:val="single"/>
                    </w:rPr>
                  </w:pPr>
                  <w:r>
                    <w:rPr>
                      <w:rFonts w:hint="eastAsia" w:ascii="宋体" w:hAnsi="宋体" w:eastAsia="宋体" w:cs="宋体"/>
                      <w:color w:val="000000"/>
                      <w:kern w:val="0"/>
                      <w:szCs w:val="21"/>
                      <w:u w:val="single"/>
                    </w:rPr>
                    <w:t xml:space="preserve">仓储物流园区： </w:t>
                  </w:r>
                </w:p>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发展集运输、仓储、装卸、加工及</w:t>
                  </w:r>
                  <w:r>
                    <w:rPr>
                      <w:rFonts w:hint="eastAsia" w:ascii="宋体" w:hAnsi="宋体" w:eastAsia="宋体" w:cs="宋体"/>
                      <w:color w:val="000000"/>
                      <w:spacing w:val="-6"/>
                      <w:kern w:val="0"/>
                      <w:szCs w:val="21"/>
                      <w:u w:val="single"/>
                    </w:rPr>
                    <w:t>配套服务于一体的现代化物流园区</w:t>
                  </w:r>
                  <w:r>
                    <w:rPr>
                      <w:rFonts w:hint="eastAsia" w:ascii="宋体" w:hAnsi="宋体" w:eastAsia="宋体" w:cs="宋体"/>
                      <w:color w:val="000000"/>
                      <w:kern w:val="0"/>
                      <w:szCs w:val="21"/>
                      <w:u w:val="single"/>
                    </w:rPr>
                    <w:t>。</w:t>
                  </w:r>
                </w:p>
              </w:tc>
              <w:tc>
                <w:tcPr>
                  <w:tcW w:w="2249" w:type="dxa"/>
                  <w:vMerge w:val="continue"/>
                  <w:tcBorders>
                    <w:bottom w:val="single" w:color="auto" w:sz="12" w:space="0"/>
                    <w:right w:val="nil"/>
                  </w:tcBorders>
                </w:tcPr>
                <w:p>
                  <w:pPr>
                    <w:widowControl/>
                    <w:jc w:val="left"/>
                    <w:rPr>
                      <w:rFonts w:ascii="宋体" w:hAnsi="宋体" w:eastAsia="宋体" w:cs="宋体"/>
                      <w:color w:val="000000"/>
                      <w:kern w:val="0"/>
                      <w:szCs w:val="21"/>
                      <w:u w:val="single"/>
                    </w:rPr>
                  </w:pPr>
                </w:p>
              </w:tc>
            </w:tr>
          </w:tbl>
          <w:p>
            <w:pPr>
              <w:pStyle w:val="3"/>
              <w:spacing w:before="62" w:after="62" w:line="20" w:lineRule="exact"/>
              <w:rPr>
                <w:rFonts w:eastAsia="宋体"/>
                <w:color w:val="000000"/>
                <w:sz w:val="24"/>
                <w:szCs w:val="24"/>
              </w:rPr>
            </w:pPr>
          </w:p>
          <w:p>
            <w:pPr>
              <w:pStyle w:val="2"/>
              <w:spacing w:line="24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0"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规划环境影响</w:t>
            </w:r>
          </w:p>
          <w:p>
            <w:pPr>
              <w:snapToGrid w:val="0"/>
              <w:jc w:val="center"/>
              <w:rPr>
                <w:rFonts w:ascii="Times New Roman" w:hAnsi="Times New Roman" w:eastAsia="宋体" w:cs="Times New Roman"/>
                <w:sz w:val="24"/>
              </w:rPr>
            </w:pPr>
            <w:r>
              <w:rPr>
                <w:rFonts w:ascii="Times New Roman" w:hAnsi="Times New Roman" w:eastAsia="宋体" w:cs="Times New Roman"/>
                <w:sz w:val="24"/>
              </w:rPr>
              <w:t>评价情况</w:t>
            </w:r>
          </w:p>
        </w:tc>
        <w:tc>
          <w:tcPr>
            <w:tcW w:w="6962" w:type="dxa"/>
            <w:gridSpan w:val="3"/>
            <w:vAlign w:val="center"/>
          </w:tcPr>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kern w:val="0"/>
                <w:sz w:val="24"/>
              </w:rPr>
              <w:t>2016</w:t>
            </w:r>
            <w:r>
              <w:rPr>
                <w:rFonts w:hint="eastAsia" w:ascii="宋体" w:hAnsi="宋体" w:eastAsia="宋体" w:cs="宋体"/>
                <w:color w:val="000000"/>
                <w:kern w:val="0"/>
                <w:sz w:val="24"/>
              </w:rPr>
              <w:t>年吉林省环保厅以吉环函</w:t>
            </w:r>
            <w:r>
              <w:rPr>
                <w:rFonts w:ascii="Times New Roman" w:hAnsi="Times New Roman" w:eastAsia="宋体" w:cs="Times New Roman"/>
                <w:color w:val="000000"/>
                <w:kern w:val="0"/>
                <w:sz w:val="24"/>
              </w:rPr>
              <w:t>[2016]423</w:t>
            </w:r>
            <w:r>
              <w:rPr>
                <w:rFonts w:hint="eastAsia" w:ascii="宋体" w:hAnsi="宋体" w:eastAsia="宋体" w:cs="宋体"/>
                <w:color w:val="000000"/>
                <w:kern w:val="0"/>
                <w:sz w:val="24"/>
              </w:rPr>
              <w:t>号文对《吉林白城工业园区总体规划（修编）环境影响报告书》予以批复。吉林白城工业园区管委会决定对园区的规划再次进行调整，于</w:t>
            </w:r>
            <w:r>
              <w:rPr>
                <w:rFonts w:ascii="Times New Roman" w:hAnsi="Times New Roman" w:eastAsia="宋体" w:cs="Times New Roman"/>
                <w:color w:val="000000"/>
                <w:kern w:val="0"/>
                <w:sz w:val="24"/>
              </w:rPr>
              <w:t>2019</w:t>
            </w:r>
            <w:r>
              <w:rPr>
                <w:rFonts w:hint="eastAsia" w:ascii="宋体" w:hAnsi="宋体" w:eastAsia="宋体" w:cs="宋体"/>
                <w:color w:val="000000"/>
                <w:kern w:val="0"/>
                <w:sz w:val="24"/>
              </w:rPr>
              <w:t>年吉林省生态环境厅以吉环函</w:t>
            </w:r>
            <w:r>
              <w:rPr>
                <w:rFonts w:ascii="Times New Roman" w:hAnsi="Times New Roman" w:eastAsia="宋体" w:cs="Times New Roman"/>
                <w:color w:val="000000"/>
                <w:kern w:val="0"/>
                <w:sz w:val="24"/>
              </w:rPr>
              <w:t>[2019]146</w:t>
            </w:r>
            <w:r>
              <w:rPr>
                <w:rFonts w:hint="eastAsia" w:ascii="宋体" w:hAnsi="宋体" w:eastAsia="宋体" w:cs="宋体"/>
                <w:color w:val="000000"/>
                <w:kern w:val="0"/>
                <w:sz w:val="24"/>
              </w:rPr>
              <w:t>号文对《吉林白城工业园区总体规划（调整）环境影响报告书》下达了审查意见的函。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0" w:type="dxa"/>
            <w:gridSpan w:val="2"/>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规划及规划环境影响评价符合性分析</w:t>
            </w:r>
          </w:p>
        </w:tc>
        <w:tc>
          <w:tcPr>
            <w:tcW w:w="6962" w:type="dxa"/>
            <w:gridSpan w:val="3"/>
            <w:vAlign w:val="center"/>
          </w:tcPr>
          <w:p>
            <w:pPr>
              <w:widowControl/>
              <w:spacing w:line="360" w:lineRule="auto"/>
              <w:ind w:firstLine="480" w:firstLineChars="200"/>
              <w:jc w:val="left"/>
              <w:rPr>
                <w:rFonts w:ascii="Times New Roman" w:hAnsi="Times New Roman" w:cs="Times New Roman"/>
                <w:sz w:val="24"/>
                <w:u w:val="single"/>
                <w:lang w:val="zh-CN"/>
              </w:rPr>
            </w:pPr>
            <w:r>
              <w:rPr>
                <w:rFonts w:hint="eastAsia" w:ascii="Times New Roman" w:hAnsi="Times New Roman" w:cs="Times New Roman"/>
                <w:sz w:val="24"/>
                <w:u w:val="single"/>
                <w:lang w:val="zh-CN"/>
              </w:rPr>
              <w:t>功能分区与发展定位：</w:t>
            </w:r>
          </w:p>
          <w:p>
            <w:pPr>
              <w:widowControl/>
              <w:spacing w:line="360" w:lineRule="auto"/>
              <w:ind w:firstLine="480" w:firstLineChars="200"/>
              <w:jc w:val="left"/>
              <w:rPr>
                <w:rFonts w:ascii="宋体" w:hAnsi="宋体" w:eastAsia="宋体" w:cs="宋体"/>
                <w:color w:val="000000"/>
                <w:kern w:val="0"/>
                <w:sz w:val="24"/>
                <w:u w:val="single"/>
              </w:rPr>
            </w:pPr>
            <w:r>
              <w:rPr>
                <w:rFonts w:ascii="Times New Roman" w:hAnsi="Times New Roman" w:cs="Times New Roman"/>
                <w:sz w:val="24"/>
                <w:u w:val="single"/>
                <w:lang w:val="zh-CN"/>
              </w:rPr>
              <w:t>工业园区共分为7个功能分区，分别为机加与建材园区（主导产业包括集生产、研发等功能于一体的装备制造业等）；农产品加工园区（主导产业包括节能环保、生物产业、新能源等）；化工园区（主导产业包括润滑油及生物化工等）；冶金园区（主导产业包括金属冶炼及压延加工等）；轻工业园区（主导产业包括纺织业、农副产品加工等）；医药园区（主导产业包括药品及包装为主的医药产业等）；仓储园区（主导产业包括货运中心等）。配套设施包括公共设施用地、交通运输用地及绿地等。</w:t>
            </w:r>
          </w:p>
          <w:p>
            <w:pPr>
              <w:widowControl/>
              <w:spacing w:line="360" w:lineRule="auto"/>
              <w:ind w:firstLine="480" w:firstLineChars="200"/>
              <w:jc w:val="left"/>
              <w:rPr>
                <w:rFonts w:ascii="Times New Roman" w:hAnsi="Times New Roman" w:eastAsia="宋体" w:cs="Times New Roman"/>
              </w:rPr>
            </w:pPr>
            <w:r>
              <w:rPr>
                <w:rFonts w:hint="eastAsia" w:ascii="宋体" w:hAnsi="宋体" w:eastAsia="宋体" w:cs="宋体"/>
                <w:color w:val="000000"/>
                <w:kern w:val="0"/>
                <w:sz w:val="24"/>
                <w:u w:val="single"/>
              </w:rPr>
              <w:t>本项目位于机加及建材加工园区，该园区以</w:t>
            </w:r>
            <w:r>
              <w:rPr>
                <w:rFonts w:hint="eastAsia" w:ascii="宋体" w:hAnsi="宋体" w:eastAsia="宋体" w:cs="宋体"/>
                <w:color w:val="000000"/>
                <w:kern w:val="0"/>
                <w:sz w:val="24"/>
                <w:u w:val="single"/>
                <w:lang w:eastAsia="zh-CN"/>
              </w:rPr>
              <w:t>机加及建材业、农产品加工业占主导地位，其次为医药制品工业。</w:t>
            </w:r>
            <w:r>
              <w:rPr>
                <w:rFonts w:hint="eastAsia" w:ascii="宋体" w:hAnsi="宋体" w:eastAsia="宋体" w:cs="宋体"/>
                <w:color w:val="000000"/>
                <w:kern w:val="0"/>
                <w:sz w:val="24"/>
                <w:u w:val="single"/>
              </w:rPr>
              <w:t>本项目为报废农业机械回收拆解项目，与园区发展一致。根据《吉林白城工业园区总体规划（调整）环境影响报告书》，</w:t>
            </w:r>
            <w:r>
              <w:rPr>
                <w:rFonts w:hint="eastAsia" w:ascii="宋体" w:hAnsi="宋体" w:eastAsia="宋体" w:cs="宋体"/>
                <w:color w:val="000000"/>
                <w:kern w:val="0"/>
                <w:sz w:val="24"/>
                <w:u w:val="single"/>
                <w:lang w:eastAsia="zh-CN"/>
              </w:rPr>
              <w:t>本项目不属于</w:t>
            </w:r>
            <w:r>
              <w:rPr>
                <w:rFonts w:hint="eastAsia" w:ascii="宋体" w:hAnsi="宋体" w:eastAsia="宋体" w:cs="宋体"/>
                <w:color w:val="000000"/>
                <w:kern w:val="0"/>
                <w:sz w:val="24"/>
                <w:u w:val="single"/>
              </w:rPr>
              <w:t>园区限制入区行业，且项目运营期排放的污染物均满足相应标准，符合园区准入条件，与规划及规划环境影响评价相符。本项目不属于《产业结构调整指导目录（2019 年本）》中的限制类和淘汰类，符合环保条件。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pPr>
              <w:snapToGrid w:val="0"/>
              <w:jc w:val="center"/>
              <w:rPr>
                <w:rFonts w:ascii="Times New Roman" w:hAnsi="Times New Roman" w:eastAsia="宋体" w:cs="Times New Roman"/>
                <w:sz w:val="24"/>
                <w:highlight w:val="yellow"/>
              </w:rPr>
            </w:pPr>
            <w:r>
              <w:rPr>
                <w:rFonts w:ascii="Times New Roman" w:hAnsi="Times New Roman" w:eastAsia="宋体" w:cs="Times New Roman"/>
                <w:sz w:val="24"/>
              </w:rPr>
              <w:t>其他符合性分析</w:t>
            </w:r>
          </w:p>
        </w:tc>
        <w:tc>
          <w:tcPr>
            <w:tcW w:w="8259" w:type="dxa"/>
            <w:gridSpan w:val="4"/>
            <w:vAlign w:val="center"/>
          </w:tcPr>
          <w:p>
            <w:pPr>
              <w:numPr>
                <w:ilvl w:val="0"/>
                <w:numId w:val="3"/>
              </w:numPr>
              <w:spacing w:line="360" w:lineRule="auto"/>
              <w:jc w:val="left"/>
              <w:rPr>
                <w:b/>
                <w:bCs/>
                <w:sz w:val="24"/>
                <w:u w:val="single"/>
              </w:rPr>
            </w:pPr>
            <w:r>
              <w:rPr>
                <w:rFonts w:ascii="Times New Roman" w:hAnsi="Times New Roman" w:eastAsia="宋体" w:cs="Times New Roman"/>
                <w:b/>
                <w:bCs/>
                <w:kern w:val="0"/>
                <w:sz w:val="24"/>
                <w:u w:val="single"/>
              </w:rPr>
              <w:t>“三线一单”相符性分析</w:t>
            </w:r>
          </w:p>
          <w:p>
            <w:pPr>
              <w:spacing w:line="360" w:lineRule="auto"/>
              <w:ind w:firstLine="480" w:firstLineChars="200"/>
              <w:rPr>
                <w:rFonts w:ascii="Times New Roman" w:hAnsi="Times New Roman" w:cs="Times New Roman"/>
                <w:sz w:val="24"/>
                <w:u w:val="single"/>
              </w:rPr>
            </w:pPr>
            <w:r>
              <w:rPr>
                <w:rFonts w:ascii="Times New Roman" w:hAnsi="Times New Roman" w:cs="Times New Roman"/>
                <w:sz w:val="24"/>
              </w:rPr>
              <w:t>根据《吉林省人民政府关于实施“三线一单”生态环境分区管控的意见》（吉政函【2020】101号）及《吉林省“三线一单”文本》，确定本项目位于重点</w:t>
            </w:r>
            <w:r>
              <w:rPr>
                <w:rFonts w:hint="eastAsia" w:ascii="Times New Roman" w:hAnsi="Times New Roman" w:cs="Times New Roman"/>
                <w:sz w:val="24"/>
              </w:rPr>
              <w:t>管控单元</w:t>
            </w:r>
            <w:r>
              <w:rPr>
                <w:rFonts w:ascii="Times New Roman" w:hAnsi="Times New Roman" w:cs="Times New Roman"/>
                <w:sz w:val="24"/>
              </w:rPr>
              <w:t>，本项目生态红线、环境质量底线及资源开发利用上线的相符性如下：</w:t>
            </w:r>
          </w:p>
          <w:p>
            <w:pPr>
              <w:pStyle w:val="33"/>
              <w:numPr>
                <w:ilvl w:val="0"/>
                <w:numId w:val="0"/>
              </w:numPr>
              <w:spacing w:line="360" w:lineRule="auto"/>
              <w:rPr>
                <w:rFonts w:ascii="Times New Roman" w:hAnsi="Times New Roman" w:cs="Times New Roman"/>
                <w:bCs/>
                <w:sz w:val="24"/>
                <w:szCs w:val="24"/>
                <w:u w:val="single"/>
              </w:rPr>
            </w:pPr>
            <w:r>
              <w:rPr>
                <w:rFonts w:hint="eastAsia" w:ascii="Times New Roman" w:hAnsi="Times New Roman" w:cs="Times New Roman"/>
                <w:bCs/>
                <w:sz w:val="24"/>
                <w:szCs w:val="24"/>
                <w:u w:val="single"/>
              </w:rPr>
              <w:t xml:space="preserve">表2  </w:t>
            </w:r>
            <w:r>
              <w:rPr>
                <w:rFonts w:ascii="Times New Roman" w:hAnsi="Times New Roman" w:cs="Times New Roman"/>
                <w:bCs/>
                <w:sz w:val="24"/>
                <w:szCs w:val="24"/>
                <w:u w:val="single"/>
              </w:rPr>
              <w:t xml:space="preserve"> 本项目“三线”相符性分析一览表</w:t>
            </w:r>
          </w:p>
          <w:tbl>
            <w:tblPr>
              <w:tblStyle w:val="26"/>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769"/>
              <w:gridCol w:w="268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12" w:space="0"/>
                  </w:tcBorders>
                  <w:vAlign w:val="center"/>
                </w:tcPr>
                <w:p>
                  <w:pPr>
                    <w:jc w:val="center"/>
                    <w:rPr>
                      <w:rFonts w:asciiTheme="minorEastAsia" w:hAnsiTheme="minorEastAsia" w:cstheme="minorEastAsia"/>
                      <w:b/>
                      <w:szCs w:val="21"/>
                      <w:u w:val="single"/>
                    </w:rPr>
                  </w:pPr>
                  <w:r>
                    <w:rPr>
                      <w:rFonts w:hint="eastAsia" w:asciiTheme="minorEastAsia" w:hAnsiTheme="minorEastAsia" w:cstheme="minorEastAsia"/>
                      <w:b/>
                      <w:szCs w:val="21"/>
                      <w:u w:val="single"/>
                    </w:rPr>
                    <w:t>项目</w:t>
                  </w:r>
                </w:p>
              </w:tc>
              <w:tc>
                <w:tcPr>
                  <w:tcW w:w="3769" w:type="dxa"/>
                  <w:tcBorders>
                    <w:top w:val="single" w:color="auto" w:sz="12" w:space="0"/>
                  </w:tcBorders>
                  <w:vAlign w:val="center"/>
                </w:tcPr>
                <w:p>
                  <w:pPr>
                    <w:adjustRightInd w:val="0"/>
                    <w:snapToGrid w:val="0"/>
                    <w:jc w:val="center"/>
                    <w:rPr>
                      <w:rFonts w:asciiTheme="minorEastAsia" w:hAnsiTheme="minorEastAsia" w:cstheme="minorEastAsia"/>
                      <w:b/>
                      <w:szCs w:val="21"/>
                      <w:u w:val="single"/>
                    </w:rPr>
                  </w:pPr>
                  <w:r>
                    <w:rPr>
                      <w:rFonts w:hint="eastAsia" w:asciiTheme="minorEastAsia" w:hAnsiTheme="minorEastAsia" w:cstheme="minorEastAsia"/>
                      <w:b/>
                      <w:szCs w:val="21"/>
                      <w:u w:val="single"/>
                    </w:rPr>
                    <w:t>划定情况</w:t>
                  </w:r>
                </w:p>
              </w:tc>
              <w:tc>
                <w:tcPr>
                  <w:tcW w:w="2686" w:type="dxa"/>
                  <w:tcBorders>
                    <w:top w:val="single" w:color="auto" w:sz="12" w:space="0"/>
                  </w:tcBorders>
                  <w:vAlign w:val="center"/>
                </w:tcPr>
                <w:p>
                  <w:pPr>
                    <w:adjustRightInd w:val="0"/>
                    <w:snapToGrid w:val="0"/>
                    <w:jc w:val="center"/>
                    <w:rPr>
                      <w:rFonts w:asciiTheme="minorEastAsia" w:hAnsiTheme="minorEastAsia" w:cstheme="minorEastAsia"/>
                      <w:b/>
                      <w:szCs w:val="21"/>
                      <w:u w:val="single"/>
                    </w:rPr>
                  </w:pPr>
                  <w:r>
                    <w:rPr>
                      <w:rFonts w:hint="eastAsia" w:asciiTheme="minorEastAsia" w:hAnsiTheme="minorEastAsia" w:cstheme="minorEastAsia"/>
                      <w:b/>
                      <w:szCs w:val="21"/>
                      <w:u w:val="single"/>
                    </w:rPr>
                    <w:t>本项目情况</w:t>
                  </w:r>
                </w:p>
              </w:tc>
              <w:tc>
                <w:tcPr>
                  <w:tcW w:w="713" w:type="dxa"/>
                  <w:tcBorders>
                    <w:top w:val="single" w:color="auto" w:sz="12" w:space="0"/>
                    <w:right w:val="nil"/>
                  </w:tcBorders>
                  <w:vAlign w:val="center"/>
                </w:tcPr>
                <w:p>
                  <w:pPr>
                    <w:adjustRightInd w:val="0"/>
                    <w:snapToGrid w:val="0"/>
                    <w:jc w:val="center"/>
                    <w:rPr>
                      <w:rFonts w:asciiTheme="minorEastAsia" w:hAnsiTheme="minorEastAsia" w:cstheme="minorEastAsia"/>
                      <w:b/>
                      <w:szCs w:val="21"/>
                      <w:u w:val="single"/>
                    </w:rPr>
                  </w:pPr>
                  <w:r>
                    <w:rPr>
                      <w:rFonts w:hint="eastAsia" w:asciiTheme="minorEastAsia" w:hAnsiTheme="minorEastAsia" w:cstheme="minorEastAsia"/>
                      <w:b/>
                      <w:szCs w:val="21"/>
                      <w:u w:val="singl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tcBorders>
                    <w:left w:val="nil"/>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生态保</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护红线</w:t>
                  </w:r>
                </w:p>
              </w:tc>
              <w:tc>
                <w:tcPr>
                  <w:tcW w:w="3769" w:type="dxa"/>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吉林省生态保护红线总面积为5.23万km</w:t>
                  </w:r>
                  <w:r>
                    <w:rPr>
                      <w:rFonts w:hint="eastAsia" w:asciiTheme="minorEastAsia" w:hAnsiTheme="minorEastAsia" w:cstheme="minorEastAsia"/>
                      <w:szCs w:val="21"/>
                      <w:u w:val="single"/>
                      <w:vertAlign w:val="superscript"/>
                    </w:rPr>
                    <w:t>2</w:t>
                  </w:r>
                  <w:r>
                    <w:rPr>
                      <w:rFonts w:hint="eastAsia" w:asciiTheme="minorEastAsia" w:hAnsiTheme="minorEastAsia" w:cstheme="minorEastAsia"/>
                      <w:szCs w:val="21"/>
                      <w:u w:val="single"/>
                    </w:rPr>
                    <w:t>，占全省总面积的27.30%。全省共划定生态保护红线优先保护区289个。</w:t>
                  </w:r>
                </w:p>
              </w:tc>
              <w:tc>
                <w:tcPr>
                  <w:tcW w:w="2686" w:type="dxa"/>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项目不在区域生态保护红线范围内，满足生态保护红线要求。</w:t>
                  </w:r>
                </w:p>
              </w:tc>
              <w:tc>
                <w:tcPr>
                  <w:tcW w:w="713" w:type="dxa"/>
                  <w:tcBorders>
                    <w:right w:val="nil"/>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left w:val="nil"/>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环境</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质量</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底线</w:t>
                  </w:r>
                </w:p>
              </w:tc>
              <w:tc>
                <w:tcPr>
                  <w:tcW w:w="3769" w:type="dxa"/>
                  <w:vAlign w:val="center"/>
                </w:tcPr>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1、大气环境质量底线</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2020年，吉林省大气环境质量底线为PM</w:t>
                  </w:r>
                  <w:r>
                    <w:rPr>
                      <w:rFonts w:hint="eastAsia" w:asciiTheme="minorEastAsia" w:hAnsiTheme="minorEastAsia" w:cstheme="minorEastAsia"/>
                      <w:szCs w:val="21"/>
                      <w:u w:val="single"/>
                      <w:vertAlign w:val="subscript"/>
                    </w:rPr>
                    <w:t>2.5</w:t>
                  </w:r>
                  <w:r>
                    <w:rPr>
                      <w:rFonts w:hint="eastAsia" w:asciiTheme="minorEastAsia" w:hAnsiTheme="minorEastAsia" w:cstheme="minorEastAsia"/>
                      <w:szCs w:val="21"/>
                      <w:u w:val="single"/>
                    </w:rPr>
                    <w:t>年均浓度达到35μg/m³以下；</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2025年，吉林省大气环境质量底线为PM</w:t>
                  </w:r>
                  <w:r>
                    <w:rPr>
                      <w:rFonts w:hint="eastAsia" w:asciiTheme="minorEastAsia" w:hAnsiTheme="minorEastAsia" w:cstheme="minorEastAsia"/>
                      <w:szCs w:val="21"/>
                      <w:u w:val="single"/>
                      <w:vertAlign w:val="subscript"/>
                    </w:rPr>
                    <w:t>2.5</w:t>
                  </w:r>
                  <w:r>
                    <w:rPr>
                      <w:rFonts w:hint="eastAsia" w:asciiTheme="minorEastAsia" w:hAnsiTheme="minorEastAsia" w:cstheme="minorEastAsia"/>
                      <w:szCs w:val="21"/>
                      <w:u w:val="single"/>
                    </w:rPr>
                    <w:t>年均浓度达到35μg/m³以下，未达标市（州）应接近二级标准；</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2035年，吉林省大气环境质量底线为PM</w:t>
                  </w:r>
                  <w:r>
                    <w:rPr>
                      <w:rFonts w:hint="eastAsia" w:asciiTheme="minorEastAsia" w:hAnsiTheme="minorEastAsia" w:cstheme="minorEastAsia"/>
                      <w:szCs w:val="21"/>
                      <w:u w:val="single"/>
                      <w:vertAlign w:val="subscript"/>
                    </w:rPr>
                    <w:t>2.5</w:t>
                  </w:r>
                  <w:r>
                    <w:rPr>
                      <w:rFonts w:hint="eastAsia" w:asciiTheme="minorEastAsia" w:hAnsiTheme="minorEastAsia" w:cstheme="minorEastAsia"/>
                      <w:szCs w:val="21"/>
                      <w:u w:val="single"/>
                    </w:rPr>
                    <w:t>年均浓度达到35μg/m³以下，所有市（州）达到二级标准。</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2、水环境质量底线</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2020年，松花江流域中，松花江的白山大桥、辉发河的兴隆、莲河的鲜明村、拉林河的苗家、双阳河砖瓦窑桥、沐石河的沐石河大桥、沙河的沙河桥断面均为IV类；新凯河山嘴子桥和新凯河、饮马河靠山南楼和刘珍屯、伊通河的靠山大桥和杨家崴子、雾开河的十三家子大桥、卡岔河韩家桥和魏家桥断面均为V类，其他断面均为III类及以上。</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2025年，松花江流域中，莲河的鲜明村、拉林河的苗家、双阳河砖瓦窑桥、沐石河的沐石河大桥、沙河的沙河桥断面均为IV类；新凯河的山嘴子桥和新凯河、饮马河的靠山南楼和刘珍屯、卡岔河的魏家桥和龙家亮子、伊通河的靠山大桥和杨家崴子、雾开河的十三家子大桥断面等均为V类；其他断面为Ⅱ、III类。</w:t>
                  </w:r>
                </w:p>
                <w:p>
                  <w:pPr>
                    <w:adjustRightInd w:val="0"/>
                    <w:snapToGrid w:val="0"/>
                    <w:jc w:val="center"/>
                    <w:rPr>
                      <w:rFonts w:asciiTheme="minorEastAsia" w:hAnsiTheme="minorEastAsia" w:cstheme="minorEastAsia"/>
                      <w:szCs w:val="21"/>
                      <w:highlight w:val="red"/>
                      <w:u w:val="single"/>
                    </w:rPr>
                  </w:pPr>
                  <w:r>
                    <w:rPr>
                      <w:rFonts w:hint="eastAsia" w:asciiTheme="minorEastAsia" w:hAnsiTheme="minorEastAsia" w:cstheme="minorEastAsia"/>
                      <w:szCs w:val="21"/>
                      <w:u w:val="single"/>
                    </w:rPr>
                    <w:t>2035年，松花江流域中，卡岔河的韩家桥和魏家桥、伊通河的靠山大桥和杨家崴子、新凯河山的嘴子桥和新凯河、饮马河靠山南楼和刘珍屯断面、拉林河的苗家断面、沐石河的沐石河大桥、雾开河的十三家子大桥为IV类，卡岔河龙家亮子断面为V类，其他断面均达到III类或III类以上水质目标。</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3、土壤环境风险管控主要目标</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土壤环境风险管控底线的主要目标为：到2020年，吉林省土壤环境质量总体保持稳定、局部区域稳中有升，农用地和建设用地土壤环境安全得到基本保障，土壤环境风险得到基本管控。到2025年，农用地和建设用地土壤环境安全得到有效保障，土壤环境风险得到有效管控，土壤生态系统功能有效改善和提升。到2030年，农用地和建设用地土壤环境安全得到有效保障，土壤环境风险得到有效管控，土壤生态系统功能有效改善和提升。到2035年，吉林省土壤环境质量稳中向好，农用地和建设用地土壤环境安全得到有效保障，土壤环境风险得到全面管控。</w:t>
                  </w:r>
                </w:p>
              </w:tc>
              <w:tc>
                <w:tcPr>
                  <w:tcW w:w="2686" w:type="dxa"/>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项目所在区域各项大气环境质量因子均能够满足二级标准要求，项目的各大气污染源经采用有效的治理后，均能够满足达标排放，因此本项目的建成投产不突破区域大气环境质量底线；项目生活污水排入园区管网，生产废水回用生产，项目的建成投产不改变区域水环境质量底线；</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项目</w:t>
                  </w:r>
                  <w:r>
                    <w:rPr>
                      <w:rFonts w:hint="eastAsia" w:asciiTheme="minorEastAsia" w:hAnsiTheme="minorEastAsia" w:cstheme="minorEastAsia"/>
                      <w:color w:val="000000" w:themeColor="text1"/>
                      <w:szCs w:val="21"/>
                      <w:u w:val="single"/>
                    </w:rPr>
                    <w:t>占地为园区工业用地，</w:t>
                  </w:r>
                  <w:r>
                    <w:rPr>
                      <w:rFonts w:hint="eastAsia" w:asciiTheme="minorEastAsia" w:hAnsiTheme="minorEastAsia" w:cstheme="minorEastAsia"/>
                      <w:szCs w:val="21"/>
                      <w:u w:val="single"/>
                    </w:rPr>
                    <w:t>建成投产不突破区域土壤环境质量底线；</w:t>
                  </w:r>
                </w:p>
              </w:tc>
              <w:tc>
                <w:tcPr>
                  <w:tcW w:w="713" w:type="dxa"/>
                  <w:tcBorders>
                    <w:right w:val="nil"/>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left w:val="nil"/>
                    <w:bottom w:val="single" w:color="auto" w:sz="12" w:space="0"/>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资源开</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发利用</w:t>
                  </w:r>
                </w:p>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上线</w:t>
                  </w:r>
                </w:p>
              </w:tc>
              <w:tc>
                <w:tcPr>
                  <w:tcW w:w="3769" w:type="dxa"/>
                  <w:tcBorders>
                    <w:bottom w:val="single" w:color="auto" w:sz="12" w:space="0"/>
                  </w:tcBorders>
                  <w:vAlign w:val="center"/>
                </w:tcPr>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1、水资源利用上线</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争取2025年年全省用水总量控制在160.6亿m</w:t>
                  </w:r>
                  <w:r>
                    <w:rPr>
                      <w:rFonts w:hint="eastAsia" w:asciiTheme="minorEastAsia" w:hAnsiTheme="minorEastAsia" w:cstheme="minorEastAsia"/>
                      <w:szCs w:val="21"/>
                      <w:u w:val="single"/>
                      <w:vertAlign w:val="superscript"/>
                    </w:rPr>
                    <w:t>3</w:t>
                  </w:r>
                  <w:r>
                    <w:rPr>
                      <w:rFonts w:hint="eastAsia" w:asciiTheme="minorEastAsia" w:hAnsiTheme="minorEastAsia" w:cstheme="minorEastAsia"/>
                      <w:szCs w:val="21"/>
                      <w:u w:val="single"/>
                    </w:rPr>
                    <w:t>。展望2035年，全省用水总量控制在174.5亿m</w:t>
                  </w:r>
                  <w:r>
                    <w:rPr>
                      <w:rFonts w:hint="eastAsia" w:asciiTheme="minorEastAsia" w:hAnsiTheme="minorEastAsia" w:cstheme="minorEastAsia"/>
                      <w:szCs w:val="21"/>
                      <w:u w:val="single"/>
                      <w:vertAlign w:val="superscript"/>
                    </w:rPr>
                    <w:t>3</w:t>
                  </w:r>
                  <w:r>
                    <w:rPr>
                      <w:rFonts w:hint="eastAsia" w:asciiTheme="minorEastAsia" w:hAnsiTheme="minorEastAsia" w:cstheme="minorEastAsia"/>
                      <w:szCs w:val="21"/>
                      <w:u w:val="single"/>
                    </w:rPr>
                    <w:t>。</w:t>
                  </w:r>
                  <w:r>
                    <w:rPr>
                      <w:rFonts w:hint="eastAsia" w:asciiTheme="minorEastAsia" w:hAnsiTheme="minorEastAsia" w:cstheme="minorEastAsia"/>
                      <w:szCs w:val="21"/>
                      <w:u w:val="single"/>
                    </w:rPr>
                    <w:cr/>
                  </w:r>
                  <w:r>
                    <w:rPr>
                      <w:rFonts w:hint="eastAsia" w:asciiTheme="minorEastAsia" w:hAnsiTheme="minorEastAsia" w:cstheme="minorEastAsia"/>
                      <w:szCs w:val="21"/>
                      <w:u w:val="single"/>
                    </w:rPr>
                    <w:t>2、土地资源利用上线</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到2020年全省耕地保有量、基本农田保护目标分别为606.67万公顷和492.01万公顷。</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2020年全省建设用地总规模为113.20万公顷。</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3、能源（煤炭）资源利用上线2025年设定的吉林省煤炭消费总量控制指标应与2020年总量指标基本持平，即5986万吨标准煤，煤炭消费比重为54.77%，天然气消费、非化石燃料消费比重需进一步提高。</w:t>
                  </w:r>
                </w:p>
              </w:tc>
              <w:tc>
                <w:tcPr>
                  <w:tcW w:w="2686" w:type="dxa"/>
                  <w:tcBorders>
                    <w:bottom w:val="single" w:color="auto" w:sz="12" w:space="0"/>
                  </w:tcBorders>
                  <w:vAlign w:val="center"/>
                </w:tcPr>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项</w:t>
                  </w:r>
                  <w:r>
                    <w:rPr>
                      <w:rFonts w:hint="eastAsia" w:asciiTheme="minorEastAsia" w:hAnsiTheme="minorEastAsia" w:cstheme="minorEastAsia"/>
                      <w:color w:val="000000" w:themeColor="text1"/>
                      <w:szCs w:val="21"/>
                      <w:u w:val="single"/>
                    </w:rPr>
                    <w:t>目用水量较少，建</w:t>
                  </w:r>
                  <w:r>
                    <w:rPr>
                      <w:rFonts w:hint="eastAsia" w:asciiTheme="minorEastAsia" w:hAnsiTheme="minorEastAsia" w:cstheme="minorEastAsia"/>
                      <w:szCs w:val="21"/>
                      <w:u w:val="single"/>
                    </w:rPr>
                    <w:t>成投产不会突破区域水资源利用上线。</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项目占地面积10114.9m</w:t>
                  </w:r>
                  <w:r>
                    <w:rPr>
                      <w:rFonts w:hint="eastAsia" w:asciiTheme="minorEastAsia" w:hAnsiTheme="minorEastAsia" w:cstheme="minorEastAsia"/>
                      <w:szCs w:val="21"/>
                      <w:u w:val="single"/>
                      <w:vertAlign w:val="superscript"/>
                    </w:rPr>
                    <w:t>2</w:t>
                  </w:r>
                  <w:r>
                    <w:rPr>
                      <w:rFonts w:hint="eastAsia" w:asciiTheme="minorEastAsia" w:hAnsiTheme="minorEastAsia" w:cstheme="minorEastAsia"/>
                      <w:szCs w:val="21"/>
                      <w:u w:val="single"/>
                    </w:rPr>
                    <w:t>，位于工业园区内，不占用基本农田，故项目的建设不会对区域土地资源利用产生影响；</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项目冬季采暖采用电取暖，项目不消耗煤炭。</w:t>
                  </w:r>
                </w:p>
              </w:tc>
              <w:tc>
                <w:tcPr>
                  <w:tcW w:w="713" w:type="dxa"/>
                  <w:tcBorders>
                    <w:bottom w:val="single" w:color="auto" w:sz="12" w:space="0"/>
                    <w:right w:val="nil"/>
                  </w:tcBorders>
                  <w:vAlign w:val="center"/>
                </w:tcPr>
                <w:p>
                  <w:pPr>
                    <w:adjustRightInd w:val="0"/>
                    <w:snapToGrid w:val="0"/>
                    <w:jc w:val="center"/>
                    <w:rPr>
                      <w:rFonts w:asciiTheme="minorEastAsia" w:hAnsiTheme="minorEastAsia" w:cstheme="minorEastAsia"/>
                      <w:szCs w:val="21"/>
                      <w:u w:val="single"/>
                    </w:rPr>
                  </w:pPr>
                  <w:r>
                    <w:rPr>
                      <w:rFonts w:hint="eastAsia" w:asciiTheme="minorEastAsia" w:hAnsiTheme="minorEastAsia" w:cstheme="minorEastAsia"/>
                      <w:szCs w:val="21"/>
                      <w:u w:val="single"/>
                    </w:rPr>
                    <w:t>符合</w:t>
                  </w:r>
                </w:p>
              </w:tc>
            </w:tr>
          </w:tbl>
          <w:p>
            <w:pPr>
              <w:rPr>
                <w:rFonts w:ascii="Times New Roman" w:hAnsi="Times New Roman" w:eastAsia="宋体" w:cs="Times New Roman"/>
                <w:bCs/>
                <w:sz w:val="24"/>
              </w:rPr>
            </w:pPr>
          </w:p>
          <w:p>
            <w:pPr>
              <w:spacing w:line="360" w:lineRule="auto"/>
              <w:ind w:firstLine="480" w:firstLineChars="200"/>
              <w:rPr>
                <w:rFonts w:ascii="Times New Roman" w:hAnsi="Times New Roman" w:cs="Times New Roman"/>
                <w:sz w:val="24"/>
                <w:u w:val="single"/>
              </w:rPr>
            </w:pPr>
            <w:r>
              <w:rPr>
                <w:rFonts w:ascii="Times New Roman" w:hAnsi="Times New Roman" w:cs="Times New Roman"/>
                <w:sz w:val="24"/>
                <w:u w:val="single"/>
              </w:rPr>
              <w:t>根据《吉林省生态环境准入清单》、《白城市人民政府关于实施“三线一单”生态环境分区管控的意见》（白政函【2021】68号）、《吉林省省级及以上开发区（工业集中区）生态环境准入清单》（吉环区评办【2022】1号）要求，白城工业园区（环境管控单元编码ZH22080220003）的管控类型及管控要求如下：</w:t>
            </w:r>
          </w:p>
          <w:p>
            <w:pPr>
              <w:autoSpaceDE w:val="0"/>
              <w:autoSpaceDN w:val="0"/>
              <w:adjustRightInd w:val="0"/>
              <w:snapToGrid w:val="0"/>
              <w:spacing w:line="240" w:lineRule="exact"/>
              <w:ind w:firstLine="420"/>
              <w:jc w:val="center"/>
              <w:rPr>
                <w:rFonts w:ascii="宋体" w:hAnsi="宋体" w:cs="宋体"/>
                <w:b/>
                <w:spacing w:val="6"/>
                <w:kern w:val="0"/>
                <w:sz w:val="24"/>
                <w:u w:val="single"/>
              </w:rPr>
            </w:pPr>
          </w:p>
          <w:p>
            <w:pPr>
              <w:autoSpaceDE w:val="0"/>
              <w:autoSpaceDN w:val="0"/>
              <w:adjustRightInd w:val="0"/>
              <w:snapToGrid w:val="0"/>
              <w:spacing w:line="360" w:lineRule="auto"/>
              <w:ind w:firstLine="420"/>
              <w:jc w:val="center"/>
              <w:rPr>
                <w:rFonts w:ascii="宋体" w:hAnsi="宋体" w:cs="宋体"/>
                <w:b/>
                <w:spacing w:val="6"/>
                <w:kern w:val="0"/>
                <w:sz w:val="24"/>
                <w:u w:val="single"/>
              </w:rPr>
            </w:pPr>
            <w:r>
              <w:rPr>
                <w:rFonts w:hint="eastAsia" w:ascii="宋体" w:hAnsi="宋体" w:cs="宋体"/>
                <w:b/>
                <w:spacing w:val="6"/>
                <w:kern w:val="0"/>
                <w:sz w:val="24"/>
                <w:u w:val="single"/>
              </w:rPr>
              <w:t>表3 与</w:t>
            </w:r>
            <w:r>
              <w:rPr>
                <w:rFonts w:ascii="Times New Roman" w:hAnsi="Times New Roman" w:cs="Times New Roman"/>
                <w:b/>
                <w:bCs/>
                <w:sz w:val="24"/>
                <w:u w:val="single"/>
              </w:rPr>
              <w:t>吉林白城工业园区</w:t>
            </w:r>
            <w:r>
              <w:rPr>
                <w:rFonts w:hint="eastAsia" w:ascii="Times New Roman" w:hAnsi="Times New Roman" w:cs="Times New Roman"/>
                <w:b/>
                <w:bCs/>
                <w:sz w:val="24"/>
                <w:u w:val="single"/>
              </w:rPr>
              <w:t>生态</w:t>
            </w:r>
            <w:r>
              <w:rPr>
                <w:rFonts w:ascii="Times New Roman" w:hAnsi="Times New Roman" w:cs="Times New Roman"/>
                <w:b/>
                <w:bCs/>
                <w:sz w:val="24"/>
                <w:u w:val="single"/>
              </w:rPr>
              <w:t>环境准入清单</w:t>
            </w:r>
            <w:r>
              <w:rPr>
                <w:rFonts w:hint="eastAsia" w:ascii="Times New Roman" w:hAnsi="Times New Roman" w:cs="Times New Roman"/>
                <w:b/>
                <w:bCs/>
                <w:sz w:val="24"/>
                <w:u w:val="single"/>
              </w:rPr>
              <w:t>的</w:t>
            </w:r>
            <w:r>
              <w:rPr>
                <w:rFonts w:hint="eastAsia" w:ascii="宋体" w:hAnsi="宋体" w:cs="宋体"/>
                <w:b/>
                <w:spacing w:val="6"/>
                <w:kern w:val="0"/>
                <w:sz w:val="24"/>
                <w:u w:val="single"/>
              </w:rPr>
              <w:t>符合性分析</w:t>
            </w:r>
          </w:p>
          <w:tbl>
            <w:tblPr>
              <w:tblStyle w:val="25"/>
              <w:tblW w:w="81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88"/>
              <w:gridCol w:w="521"/>
              <w:gridCol w:w="521"/>
              <w:gridCol w:w="2583"/>
              <w:gridCol w:w="2072"/>
              <w:gridCol w:w="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84" w:type="dxa"/>
                  <w:noWrap/>
                  <w:vAlign w:val="center"/>
                </w:tcPr>
                <w:p>
                  <w:pPr>
                    <w:pStyle w:val="11"/>
                    <w:jc w:val="center"/>
                    <w:rPr>
                      <w:rFonts w:ascii="宋体" w:hAnsi="宋体"/>
                      <w:b/>
                      <w:bCs/>
                      <w:szCs w:val="21"/>
                      <w:u w:val="single"/>
                    </w:rPr>
                  </w:pPr>
                  <w:r>
                    <w:rPr>
                      <w:rFonts w:hint="eastAsia" w:ascii="宋体" w:hAnsi="宋体"/>
                      <w:b/>
                      <w:bCs/>
                      <w:szCs w:val="21"/>
                      <w:u w:val="single"/>
                    </w:rPr>
                    <w:t>管控单元名称</w:t>
                  </w:r>
                </w:p>
              </w:tc>
              <w:tc>
                <w:tcPr>
                  <w:tcW w:w="888" w:type="dxa"/>
                  <w:noWrap/>
                  <w:vAlign w:val="center"/>
                </w:tcPr>
                <w:p>
                  <w:pPr>
                    <w:pStyle w:val="11"/>
                    <w:jc w:val="center"/>
                    <w:rPr>
                      <w:rFonts w:ascii="宋体" w:hAnsi="宋体"/>
                      <w:b/>
                      <w:bCs/>
                      <w:szCs w:val="21"/>
                      <w:u w:val="single"/>
                    </w:rPr>
                  </w:pPr>
                  <w:r>
                    <w:rPr>
                      <w:rFonts w:hint="eastAsia" w:ascii="宋体" w:hAnsi="宋体"/>
                      <w:b/>
                      <w:bCs/>
                      <w:szCs w:val="21"/>
                      <w:u w:val="single"/>
                    </w:rPr>
                    <w:t>管控单元分类</w:t>
                  </w:r>
                </w:p>
              </w:tc>
              <w:tc>
                <w:tcPr>
                  <w:tcW w:w="1042" w:type="dxa"/>
                  <w:gridSpan w:val="2"/>
                  <w:noWrap/>
                  <w:vAlign w:val="center"/>
                </w:tcPr>
                <w:p>
                  <w:pPr>
                    <w:pStyle w:val="11"/>
                    <w:jc w:val="center"/>
                    <w:rPr>
                      <w:rFonts w:ascii="宋体" w:hAnsi="宋体"/>
                      <w:b/>
                      <w:bCs/>
                      <w:szCs w:val="21"/>
                      <w:u w:val="single"/>
                    </w:rPr>
                  </w:pPr>
                  <w:r>
                    <w:rPr>
                      <w:rFonts w:hint="eastAsia" w:ascii="宋体" w:hAnsi="宋体"/>
                      <w:b/>
                      <w:bCs/>
                      <w:szCs w:val="21"/>
                      <w:u w:val="single"/>
                    </w:rPr>
                    <w:t>管控类型</w:t>
                  </w:r>
                </w:p>
              </w:tc>
              <w:tc>
                <w:tcPr>
                  <w:tcW w:w="2583" w:type="dxa"/>
                  <w:noWrap/>
                  <w:vAlign w:val="center"/>
                </w:tcPr>
                <w:p>
                  <w:pPr>
                    <w:pStyle w:val="11"/>
                    <w:jc w:val="center"/>
                    <w:rPr>
                      <w:rFonts w:ascii="宋体" w:hAnsi="宋体"/>
                      <w:b/>
                      <w:bCs/>
                      <w:szCs w:val="21"/>
                      <w:u w:val="single"/>
                    </w:rPr>
                  </w:pPr>
                  <w:r>
                    <w:rPr>
                      <w:rFonts w:hint="eastAsia" w:ascii="宋体" w:hAnsi="宋体"/>
                      <w:b/>
                      <w:bCs/>
                      <w:szCs w:val="21"/>
                      <w:u w:val="single"/>
                    </w:rPr>
                    <w:t>管控要求</w:t>
                  </w:r>
                </w:p>
              </w:tc>
              <w:tc>
                <w:tcPr>
                  <w:tcW w:w="2072" w:type="dxa"/>
                  <w:noWrap/>
                  <w:vAlign w:val="center"/>
                </w:tcPr>
                <w:p>
                  <w:pPr>
                    <w:pStyle w:val="11"/>
                    <w:jc w:val="center"/>
                    <w:rPr>
                      <w:rFonts w:ascii="宋体" w:hAnsi="宋体"/>
                      <w:b/>
                      <w:bCs/>
                      <w:szCs w:val="21"/>
                      <w:u w:val="single"/>
                    </w:rPr>
                  </w:pPr>
                  <w:r>
                    <w:rPr>
                      <w:rFonts w:ascii="Times New Roman" w:hAnsi="Times New Roman" w:eastAsia="宋体" w:cs="Times New Roman"/>
                      <w:b/>
                      <w:bCs/>
                      <w:szCs w:val="21"/>
                      <w:u w:val="single"/>
                    </w:rPr>
                    <w:t>本项目情况</w:t>
                  </w:r>
                </w:p>
              </w:tc>
              <w:tc>
                <w:tcPr>
                  <w:tcW w:w="903" w:type="dxa"/>
                  <w:noWrap/>
                  <w:vAlign w:val="center"/>
                </w:tcPr>
                <w:p>
                  <w:pPr>
                    <w:pStyle w:val="11"/>
                    <w:jc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是否</w:t>
                  </w:r>
                </w:p>
                <w:p>
                  <w:pPr>
                    <w:pStyle w:val="11"/>
                    <w:jc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84" w:type="dxa"/>
                  <w:vMerge w:val="restart"/>
                  <w:noWrap/>
                  <w:vAlign w:val="center"/>
                </w:tcPr>
                <w:p>
                  <w:pPr>
                    <w:pStyle w:val="10"/>
                    <w:spacing w:after="0"/>
                    <w:jc w:val="center"/>
                    <w:rPr>
                      <w:rFonts w:ascii="宋体" w:hAnsi="宋体"/>
                      <w:szCs w:val="21"/>
                      <w:u w:val="single"/>
                    </w:rPr>
                  </w:pPr>
                  <w:r>
                    <w:rPr>
                      <w:rFonts w:ascii="Times New Roman" w:hAnsi="Times New Roman" w:cs="Times New Roman"/>
                      <w:szCs w:val="21"/>
                      <w:u w:val="single"/>
                    </w:rPr>
                    <w:t>吉林白城工业园区</w:t>
                  </w:r>
                </w:p>
              </w:tc>
              <w:tc>
                <w:tcPr>
                  <w:tcW w:w="888" w:type="dxa"/>
                  <w:vMerge w:val="restart"/>
                  <w:noWrap/>
                  <w:vAlign w:val="center"/>
                </w:tcPr>
                <w:p>
                  <w:pPr>
                    <w:jc w:val="left"/>
                    <w:rPr>
                      <w:rFonts w:ascii="Times New Roman" w:hAnsi="Times New Roman" w:cs="Times New Roman"/>
                      <w:szCs w:val="21"/>
                      <w:u w:val="single"/>
                    </w:rPr>
                  </w:pPr>
                  <w:r>
                    <w:rPr>
                      <w:rFonts w:ascii="Times New Roman" w:hAnsi="Times New Roman" w:cs="Times New Roman"/>
                      <w:szCs w:val="21"/>
                      <w:u w:val="single"/>
                    </w:rPr>
                    <w:t>2-重点</w:t>
                  </w:r>
                </w:p>
                <w:p>
                  <w:pPr>
                    <w:jc w:val="left"/>
                    <w:rPr>
                      <w:rFonts w:ascii="宋体" w:hAnsi="宋体"/>
                      <w:szCs w:val="21"/>
                      <w:u w:val="single"/>
                    </w:rPr>
                  </w:pPr>
                  <w:r>
                    <w:rPr>
                      <w:rFonts w:ascii="Times New Roman" w:hAnsi="Times New Roman" w:cs="Times New Roman"/>
                      <w:szCs w:val="21"/>
                      <w:u w:val="single"/>
                    </w:rPr>
                    <w:t>管控</w:t>
                  </w:r>
                </w:p>
              </w:tc>
              <w:tc>
                <w:tcPr>
                  <w:tcW w:w="1042" w:type="dxa"/>
                  <w:gridSpan w:val="2"/>
                  <w:noWrap/>
                  <w:vAlign w:val="center"/>
                </w:tcPr>
                <w:p>
                  <w:pPr>
                    <w:adjustRightInd w:val="0"/>
                    <w:snapToGrid w:val="0"/>
                    <w:jc w:val="center"/>
                    <w:rPr>
                      <w:rFonts w:ascii="宋体" w:hAnsi="宋体"/>
                      <w:szCs w:val="21"/>
                      <w:u w:val="single"/>
                    </w:rPr>
                  </w:pPr>
                  <w:r>
                    <w:rPr>
                      <w:rFonts w:ascii="Times New Roman" w:hAnsi="Times New Roman" w:cs="Times New Roman"/>
                      <w:szCs w:val="21"/>
                      <w:u w:val="single"/>
                    </w:rPr>
                    <w:t>空间布局约束</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严格按照国家产业政策要求，限制排放重金属、难降解有机污染物的项目入区。确有必要建设的重点项目或已落户园区的既有项目，要符合相关法律、法规、环境政策和产业政策的规定，并严格执行环境影响评价、跟踪监测等制度，保证项目建设满足开发区资源环境承载力、不会造成重大不良环境影响，且须提出切实可行的预防或减轻对策与措施。</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2按园区总体规划环评审查意见要求限制耗水量大、排水量大的项目入区。</w:t>
                  </w:r>
                </w:p>
                <w:p>
                  <w:pPr>
                    <w:adjustRightInd w:val="0"/>
                    <w:snapToGrid w:val="0"/>
                    <w:jc w:val="left"/>
                    <w:rPr>
                      <w:rFonts w:ascii="宋体" w:hAnsi="宋体"/>
                      <w:szCs w:val="21"/>
                      <w:u w:val="single"/>
                    </w:rPr>
                  </w:pPr>
                  <w:r>
                    <w:rPr>
                      <w:rFonts w:ascii="Times New Roman" w:hAnsi="Times New Roman" w:cs="Times New Roman"/>
                      <w:szCs w:val="21"/>
                      <w:u w:val="single"/>
                    </w:rPr>
                    <w:t>3严格限制废水排放量大、废水污染物浓度高的企业入区。</w:t>
                  </w:r>
                </w:p>
              </w:tc>
              <w:tc>
                <w:tcPr>
                  <w:tcW w:w="2072" w:type="dxa"/>
                  <w:noWrap/>
                  <w:vAlign w:val="center"/>
                </w:tcPr>
                <w:p>
                  <w:pPr>
                    <w:adjustRightInd w:val="0"/>
                    <w:snapToGrid w:val="0"/>
                    <w:jc w:val="left"/>
                    <w:rPr>
                      <w:rFonts w:ascii="Times New Roman" w:hAnsi="Times New Roman" w:eastAsia="宋体" w:cs="Times New Roman"/>
                      <w:szCs w:val="21"/>
                      <w:u w:val="single"/>
                    </w:rPr>
                  </w:pPr>
                  <w:r>
                    <w:rPr>
                      <w:rFonts w:hint="eastAsia" w:ascii="Times New Roman" w:hAnsi="Times New Roman" w:cs="Times New Roman"/>
                      <w:szCs w:val="21"/>
                      <w:u w:val="single"/>
                    </w:rPr>
                    <w:t>本</w:t>
                  </w:r>
                  <w:r>
                    <w:rPr>
                      <w:rFonts w:ascii="Times New Roman" w:hAnsi="Times New Roman" w:cs="Times New Roman"/>
                      <w:szCs w:val="21"/>
                      <w:u w:val="single"/>
                    </w:rPr>
                    <w:t>项目不属于高耗水、高污染行业。</w:t>
                  </w:r>
                </w:p>
              </w:tc>
              <w:tc>
                <w:tcPr>
                  <w:tcW w:w="903" w:type="dxa"/>
                  <w:noWrap/>
                  <w:vAlign w:val="center"/>
                </w:tcPr>
                <w:p>
                  <w:pPr>
                    <w:adjustRightInd w:val="0"/>
                    <w:snapToGrid w:val="0"/>
                    <w:jc w:val="center"/>
                    <w:rPr>
                      <w:rFonts w:ascii="Times New Roman" w:hAnsi="Times New Roman" w:eastAsia="宋体"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84" w:type="dxa"/>
                  <w:vMerge w:val="continue"/>
                  <w:noWrap/>
                  <w:vAlign w:val="center"/>
                </w:tcPr>
                <w:p>
                  <w:pPr>
                    <w:pStyle w:val="10"/>
                    <w:spacing w:after="0"/>
                    <w:jc w:val="center"/>
                    <w:rPr>
                      <w:rFonts w:ascii="宋体" w:hAnsi="宋体"/>
                      <w:szCs w:val="21"/>
                      <w:u w:val="single"/>
                    </w:rPr>
                  </w:pPr>
                </w:p>
              </w:tc>
              <w:tc>
                <w:tcPr>
                  <w:tcW w:w="888" w:type="dxa"/>
                  <w:vMerge w:val="continue"/>
                  <w:noWrap/>
                  <w:vAlign w:val="center"/>
                </w:tcPr>
                <w:p>
                  <w:pPr>
                    <w:rPr>
                      <w:rFonts w:ascii="宋体" w:hAnsi="宋体"/>
                      <w:szCs w:val="21"/>
                      <w:u w:val="single"/>
                    </w:rPr>
                  </w:pPr>
                </w:p>
              </w:tc>
              <w:tc>
                <w:tcPr>
                  <w:tcW w:w="1042" w:type="dxa"/>
                  <w:gridSpan w:val="2"/>
                  <w:noWrap/>
                  <w:vAlign w:val="center"/>
                </w:tcPr>
                <w:p>
                  <w:pPr>
                    <w:adjustRightInd w:val="0"/>
                    <w:snapToGrid w:val="0"/>
                    <w:jc w:val="center"/>
                    <w:rPr>
                      <w:rFonts w:ascii="宋体" w:hAnsi="宋体"/>
                      <w:szCs w:val="21"/>
                      <w:u w:val="single"/>
                    </w:rPr>
                  </w:pPr>
                  <w:r>
                    <w:rPr>
                      <w:rFonts w:ascii="Times New Roman" w:hAnsi="Times New Roman" w:cs="Times New Roman"/>
                      <w:szCs w:val="21"/>
                      <w:u w:val="single"/>
                    </w:rPr>
                    <w:t>环境风险防控</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1开发区应制定环境风险应急预案，成立应急组织机构，定期开展应急演练，提高区域环境风险防范能力。</w:t>
                  </w:r>
                </w:p>
                <w:p>
                  <w:pPr>
                    <w:adjustRightInd w:val="0"/>
                    <w:snapToGrid w:val="0"/>
                    <w:jc w:val="left"/>
                    <w:rPr>
                      <w:rFonts w:ascii="宋体" w:hAnsi="宋体"/>
                      <w:szCs w:val="21"/>
                      <w:u w:val="single"/>
                    </w:rPr>
                  </w:pPr>
                  <w:r>
                    <w:rPr>
                      <w:rFonts w:ascii="Times New Roman" w:hAnsi="Times New Roman" w:cs="Times New Roman"/>
                      <w:szCs w:val="21"/>
                      <w:u w:val="single"/>
                    </w:rPr>
                    <w:t>2严格管理涉及易导致环境风险的有毒有害和易燃易爆物质的生产、使用、排放、贮运等新建、改扩建项目。</w:t>
                  </w:r>
                </w:p>
              </w:tc>
              <w:tc>
                <w:tcPr>
                  <w:tcW w:w="2072"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cs="Times New Roman"/>
                      <w:szCs w:val="21"/>
                      <w:u w:val="single"/>
                    </w:rPr>
                    <w:t>项目所在开发区已制定环境风险应急预案。</w:t>
                  </w:r>
                  <w:r>
                    <w:rPr>
                      <w:rFonts w:hint="eastAsia" w:ascii="Times New Roman" w:hAnsi="Times New Roman" w:cs="Times New Roman"/>
                      <w:szCs w:val="21"/>
                      <w:u w:val="single"/>
                    </w:rPr>
                    <w:t>企业的环境风险可控。</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84" w:type="dxa"/>
                  <w:vMerge w:val="continue"/>
                  <w:noWrap/>
                  <w:vAlign w:val="center"/>
                </w:tcPr>
                <w:p>
                  <w:pPr>
                    <w:pStyle w:val="10"/>
                    <w:spacing w:after="0"/>
                    <w:jc w:val="center"/>
                    <w:rPr>
                      <w:rFonts w:ascii="宋体" w:hAnsi="宋体"/>
                      <w:szCs w:val="21"/>
                      <w:u w:val="single"/>
                    </w:rPr>
                  </w:pPr>
                </w:p>
              </w:tc>
              <w:tc>
                <w:tcPr>
                  <w:tcW w:w="888" w:type="dxa"/>
                  <w:vMerge w:val="continue"/>
                  <w:noWrap/>
                  <w:vAlign w:val="center"/>
                </w:tcPr>
                <w:p>
                  <w:pPr>
                    <w:pStyle w:val="2"/>
                    <w:snapToGrid w:val="0"/>
                    <w:spacing w:line="240" w:lineRule="auto"/>
                    <w:ind w:firstLine="0" w:firstLineChars="0"/>
                    <w:jc w:val="left"/>
                    <w:rPr>
                      <w:sz w:val="21"/>
                      <w:szCs w:val="21"/>
                      <w:u w:val="single"/>
                    </w:rPr>
                  </w:pPr>
                </w:p>
              </w:tc>
              <w:tc>
                <w:tcPr>
                  <w:tcW w:w="1042" w:type="dxa"/>
                  <w:gridSpan w:val="2"/>
                  <w:noWrap/>
                  <w:vAlign w:val="center"/>
                </w:tcPr>
                <w:p>
                  <w:pPr>
                    <w:adjustRightInd w:val="0"/>
                    <w:snapToGrid w:val="0"/>
                    <w:jc w:val="center"/>
                    <w:rPr>
                      <w:szCs w:val="21"/>
                      <w:u w:val="single"/>
                    </w:rPr>
                  </w:pPr>
                  <w:r>
                    <w:rPr>
                      <w:rFonts w:ascii="Times New Roman" w:hAnsi="Times New Roman" w:cs="Times New Roman"/>
                      <w:szCs w:val="21"/>
                      <w:u w:val="single"/>
                    </w:rPr>
                    <w:t>资源开发效率</w:t>
                  </w:r>
                </w:p>
              </w:tc>
              <w:tc>
                <w:tcPr>
                  <w:tcW w:w="2583" w:type="dxa"/>
                  <w:noWrap/>
                  <w:vAlign w:val="center"/>
                </w:tcPr>
                <w:p>
                  <w:pPr>
                    <w:adjustRightInd w:val="0"/>
                    <w:snapToGrid w:val="0"/>
                    <w:jc w:val="left"/>
                    <w:rPr>
                      <w:szCs w:val="21"/>
                      <w:u w:val="single"/>
                    </w:rPr>
                  </w:pPr>
                  <w:r>
                    <w:rPr>
                      <w:rFonts w:ascii="Times New Roman" w:hAnsi="Times New Roman" w:cs="Times New Roman"/>
                      <w:szCs w:val="21"/>
                      <w:u w:val="single"/>
                    </w:rPr>
                    <w:t>推广园区集中供热，园区新建供热设施须执行排放浓度限值。</w:t>
                  </w:r>
                </w:p>
              </w:tc>
              <w:tc>
                <w:tcPr>
                  <w:tcW w:w="2072"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cs="Times New Roman"/>
                      <w:szCs w:val="21"/>
                      <w:u w:val="single"/>
                    </w:rPr>
                    <w:t>项目所在园区无集中供热，根据规划，园区已规划建设园区集中供热，项目冬季采暖采用</w:t>
                  </w:r>
                  <w:r>
                    <w:rPr>
                      <w:rFonts w:hint="eastAsia" w:ascii="Times New Roman" w:hAnsi="Times New Roman" w:cs="Times New Roman"/>
                      <w:szCs w:val="21"/>
                      <w:u w:val="single"/>
                    </w:rPr>
                    <w:t>电取暖</w:t>
                  </w:r>
                  <w:r>
                    <w:rPr>
                      <w:rFonts w:ascii="Times New Roman" w:hAnsi="Times New Roman" w:cs="Times New Roman"/>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84" w:type="dxa"/>
                  <w:vMerge w:val="continue"/>
                  <w:noWrap/>
                  <w:vAlign w:val="center"/>
                </w:tcPr>
                <w:p>
                  <w:pPr>
                    <w:pStyle w:val="10"/>
                    <w:spacing w:after="0"/>
                    <w:jc w:val="center"/>
                    <w:rPr>
                      <w:rFonts w:ascii="宋体" w:hAnsi="宋体"/>
                      <w:szCs w:val="21"/>
                      <w:u w:val="single"/>
                    </w:rPr>
                  </w:pPr>
                </w:p>
              </w:tc>
              <w:tc>
                <w:tcPr>
                  <w:tcW w:w="888" w:type="dxa"/>
                  <w:vMerge w:val="continue"/>
                  <w:noWrap/>
                  <w:vAlign w:val="center"/>
                </w:tcPr>
                <w:p>
                  <w:pPr>
                    <w:pStyle w:val="2"/>
                    <w:snapToGrid w:val="0"/>
                    <w:spacing w:line="240" w:lineRule="auto"/>
                    <w:ind w:firstLine="0" w:firstLineChars="0"/>
                    <w:jc w:val="left"/>
                    <w:rPr>
                      <w:sz w:val="21"/>
                      <w:szCs w:val="21"/>
                      <w:u w:val="single"/>
                    </w:rPr>
                  </w:pPr>
                </w:p>
              </w:tc>
              <w:tc>
                <w:tcPr>
                  <w:tcW w:w="1042" w:type="dxa"/>
                  <w:gridSpan w:val="2"/>
                  <w:noWrap/>
                  <w:vAlign w:val="center"/>
                </w:tcPr>
                <w:p>
                  <w:pPr>
                    <w:adjustRightInd w:val="0"/>
                    <w:snapToGrid w:val="0"/>
                    <w:jc w:val="center"/>
                    <w:rPr>
                      <w:szCs w:val="21"/>
                      <w:u w:val="single"/>
                    </w:rPr>
                  </w:pPr>
                  <w:r>
                    <w:rPr>
                      <w:rFonts w:ascii="Times New Roman" w:hAnsi="Times New Roman" w:cs="Times New Roman"/>
                      <w:szCs w:val="21"/>
                      <w:u w:val="single"/>
                    </w:rPr>
                    <w:t>环境风险防控</w:t>
                  </w:r>
                </w:p>
              </w:tc>
              <w:tc>
                <w:tcPr>
                  <w:tcW w:w="2583" w:type="dxa"/>
                  <w:noWrap/>
                  <w:vAlign w:val="center"/>
                </w:tcPr>
                <w:p>
                  <w:pPr>
                    <w:adjustRightInd w:val="0"/>
                    <w:snapToGrid w:val="0"/>
                    <w:jc w:val="left"/>
                    <w:rPr>
                      <w:szCs w:val="21"/>
                      <w:u w:val="single"/>
                    </w:rPr>
                  </w:pPr>
                  <w:r>
                    <w:rPr>
                      <w:rFonts w:ascii="Times New Roman" w:hAnsi="Times New Roman" w:cs="Times New Roman"/>
                      <w:szCs w:val="21"/>
                      <w:u w:val="single"/>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w:t>
                  </w:r>
                  <w:r>
                    <w:rPr>
                      <w:rFonts w:ascii="Times New Roman" w:hAnsi="Times New Roman" w:cs="Times New Roman"/>
                      <w:spacing w:val="-11"/>
                      <w:szCs w:val="21"/>
                      <w:u w:val="single"/>
                    </w:rPr>
                    <w:t>实施项目环评、设计建设、拆</w:t>
                  </w:r>
                  <w:r>
                    <w:rPr>
                      <w:rFonts w:ascii="Times New Roman" w:hAnsi="Times New Roman" w:cs="Times New Roman"/>
                      <w:szCs w:val="21"/>
                      <w:u w:val="single"/>
                    </w:rPr>
                    <w:t>除设施、终止经营全生命周期土壤和地下水污染防治。</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项目所占用土地</w:t>
                  </w:r>
                  <w:r>
                    <w:rPr>
                      <w:rFonts w:hint="eastAsia" w:ascii="Times New Roman" w:hAnsi="Times New Roman" w:cs="Times New Roman"/>
                      <w:szCs w:val="21"/>
                      <w:u w:val="single"/>
                    </w:rPr>
                    <w:t>为工业用地</w:t>
                  </w:r>
                  <w:r>
                    <w:rPr>
                      <w:rFonts w:hint="eastAsia" w:ascii="Times New Roman" w:hAnsi="Times New Roman" w:cs="Times New Roman"/>
                      <w:color w:val="000000" w:themeColor="text1"/>
                      <w:szCs w:val="21"/>
                      <w:u w:val="single"/>
                    </w:rPr>
                    <w:t>，根据调查，</w:t>
                  </w:r>
                  <w:r>
                    <w:rPr>
                      <w:rFonts w:ascii="Times New Roman" w:hAnsi="Times New Roman" w:cs="Times New Roman"/>
                      <w:color w:val="000000" w:themeColor="text1"/>
                      <w:szCs w:val="21"/>
                      <w:u w:val="single"/>
                    </w:rPr>
                    <w:t>不属于污染地块</w:t>
                  </w:r>
                  <w:r>
                    <w:rPr>
                      <w:rFonts w:hint="eastAsia" w:ascii="Times New Roman" w:hAnsi="Times New Roman" w:cs="Times New Roman"/>
                      <w:color w:val="000000" w:themeColor="text1"/>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restart"/>
                  <w:noWrap/>
                  <w:vAlign w:val="center"/>
                </w:tcPr>
                <w:p>
                  <w:pPr>
                    <w:pStyle w:val="2"/>
                    <w:snapToGrid w:val="0"/>
                    <w:spacing w:line="240" w:lineRule="auto"/>
                    <w:ind w:firstLine="0" w:firstLineChars="0"/>
                    <w:jc w:val="left"/>
                    <w:rPr>
                      <w:sz w:val="21"/>
                      <w:szCs w:val="21"/>
                      <w:u w:val="single"/>
                    </w:rPr>
                  </w:pPr>
                  <w:r>
                    <w:rPr>
                      <w:rFonts w:ascii="Times New Roman" w:hAnsi="Times New Roman" w:cs="Times New Roman"/>
                      <w:color w:val="auto"/>
                      <w:sz w:val="21"/>
                      <w:szCs w:val="21"/>
                      <w:u w:val="single"/>
                    </w:rPr>
                    <w:t>《吉林省省级及以上开发区（工业集中区）生态环境准入清单》（吉环区评办【2022】1号）</w:t>
                  </w: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空间布局约束</w:t>
                  </w:r>
                </w:p>
              </w:tc>
              <w:tc>
                <w:tcPr>
                  <w:tcW w:w="521"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允许开发建设活动</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鼓励发展的项目应符合园区的发展方向，优化区内产业结构，提高整体经济实力，并能达到区内循环经济要求，适合区域自然环境，满足行业清洁生产要求，环保达标排放，符合地区总量要求的产业项目。</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1农产品加工业：推进食源性食品安全生产基地建设，大力发展特色农业、设施农</w:t>
                  </w:r>
                  <w:r>
                    <w:rPr>
                      <w:rFonts w:ascii="Times New Roman" w:hAnsi="Times New Roman" w:cs="Times New Roman"/>
                      <w:spacing w:val="-11"/>
                      <w:szCs w:val="21"/>
                      <w:u w:val="single"/>
                    </w:rPr>
                    <w:t>业、生态农业、订单农业，建设一批标准化、规模化、专业</w:t>
                  </w:r>
                  <w:r>
                    <w:rPr>
                      <w:rFonts w:ascii="Times New Roman" w:hAnsi="Times New Roman" w:cs="Times New Roman"/>
                      <w:szCs w:val="21"/>
                      <w:u w:val="single"/>
                    </w:rPr>
                    <w:t>化的食源性食品安全生产</w:t>
                  </w:r>
                  <w:r>
                    <w:rPr>
                      <w:rFonts w:ascii="Times New Roman" w:hAnsi="Times New Roman" w:cs="Times New Roman"/>
                      <w:spacing w:val="-11"/>
                      <w:szCs w:val="21"/>
                      <w:u w:val="single"/>
                    </w:rPr>
                    <w:t>。</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2机加与建材业：以集群化的产业聚集区为主体，以合理分工的各类专业化产业基地和产业园区为依托，整合工业产业区，加快生产要素集聚；</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3其他：轻工业园区：以发展纺织业、农副产品加工为主，着力推进产业绿色化发展；冶金园区：以金属冶炼及压延加工工业为主，大力发展清洁化生产；仓储物流园区：主要货运中心；</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重点发展社会服务业、物流业、信息产业等。</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本项目为允许开发建设活动。</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禁止开发建设活动</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禁止入区的项目主要是不符合园区的产业发展方向的，不符合清洁生产要求，环境排放要求，形成劣迹环境效应的排放，主要为：</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1国际上和国家各部门禁止或准备禁止生产的项目、明令淘汰项目；《产业结构调整指导目录》（2019年）</w:t>
                  </w:r>
                  <w:r>
                    <w:rPr>
                      <w:rFonts w:ascii="Times New Roman" w:hAnsi="Times New Roman" w:cs="Times New Roman"/>
                      <w:spacing w:val="-11"/>
                      <w:szCs w:val="21"/>
                      <w:u w:val="single"/>
                    </w:rPr>
                    <w:t>年中禁止类项目；属于《禁止外商投资产业目录》中的项目</w:t>
                  </w:r>
                  <w:r>
                    <w:rPr>
                      <w:rFonts w:ascii="Times New Roman" w:hAnsi="Times New Roman" w:cs="Times New Roman"/>
                      <w:szCs w:val="21"/>
                      <w:u w:val="single"/>
                    </w:rPr>
                    <w:t>；</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2生产方式落后、严重浪费资源和污染资源的项目；</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3污染严重，破坏自然生态和损害人体健康又无治理技术或难以治理的项目，如剧毒、放射性物质的生产、储运项目等；《关于持久性有机污染物（POPs）的斯德哥尔摩公约》（于2004年11月11日正式对我国生效）中提出首先消除的12种对人类健康和自然环境最具危害的持久性有机污染物：滴滴涕、氯丹、灭蚁灵、艾氏剂、狄氏剂、异狄氏剂、七氯、毒杀酚、六氯苯、多氯联苯、二恶英（多氯二苯并-p-二恶英）、呋喃（多氯二苯并呋喃）。因此，排放持久性有机污染物的项目应禁止入区。</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本项目不属于禁止开发建设活动</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限制开发建设活动</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严格准入条件，优化产业布局。建设项目时，要实行总量控制原则，要将环境与健康风险评价作为建设项目环境影响评价的重要内容，科学确定环境安全防护距离，保障周边群众健康。对现有企业，严格按照产污强度和安全防护距离要求，实施准入、淘汰和退出制度，并加强项目的“三同时”验收，确保相关污染防治措施的稳定运行。</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2“引嫩入白”一期工程已建设完毕，每年可向吉林白城工业园区供水2800万m</w:t>
                  </w:r>
                  <w:r>
                    <w:rPr>
                      <w:rFonts w:ascii="Times New Roman" w:hAnsi="Times New Roman" w:cs="Times New Roman"/>
                      <w:szCs w:val="21"/>
                      <w:u w:val="single"/>
                      <w:vertAlign w:val="superscript"/>
                    </w:rPr>
                    <w:t>3</w:t>
                  </w:r>
                  <w:r>
                    <w:rPr>
                      <w:rFonts w:ascii="Times New Roman" w:hAnsi="Times New Roman" w:cs="Times New Roman"/>
                      <w:szCs w:val="21"/>
                      <w:u w:val="single"/>
                    </w:rPr>
                    <w:t>/a，折合日供水量约7.5万m</w:t>
                  </w:r>
                  <w:r>
                    <w:rPr>
                      <w:rFonts w:ascii="Times New Roman" w:hAnsi="Times New Roman" w:cs="Times New Roman"/>
                      <w:szCs w:val="21"/>
                      <w:u w:val="single"/>
                      <w:vertAlign w:val="superscript"/>
                    </w:rPr>
                    <w:t>3</w:t>
                  </w:r>
                  <w:r>
                    <w:rPr>
                      <w:rFonts w:ascii="Times New Roman" w:hAnsi="Times New Roman" w:cs="Times New Roman"/>
                      <w:szCs w:val="21"/>
                      <w:u w:val="single"/>
                    </w:rPr>
                    <w:t>/d，目前吉林白城工业园区日用水量0.6万m</w:t>
                  </w:r>
                  <w:r>
                    <w:rPr>
                      <w:rFonts w:ascii="Times New Roman" w:hAnsi="Times New Roman" w:cs="Times New Roman"/>
                      <w:szCs w:val="21"/>
                      <w:u w:val="single"/>
                      <w:vertAlign w:val="superscript"/>
                    </w:rPr>
                    <w:t>3</w:t>
                  </w:r>
                  <w:r>
                    <w:rPr>
                      <w:rFonts w:ascii="Times New Roman" w:hAnsi="Times New Roman" w:cs="Times New Roman"/>
                      <w:szCs w:val="21"/>
                      <w:u w:val="single"/>
                    </w:rPr>
                    <w:t>/d，剩余水量充足，园区根据供水余量对满足行业清洁生产要求的入区企业数量进行控制。要求入区企业提高水资源重复利用率。</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 xml:space="preserve">两高一资限制要求： </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1新建“两高”项目应按照《关于加强重点行业建设项目区域削减措施监督管理的通知》要求，依据区域环境质量改善目标，采取有效的污染物区域削减措施，腾出足够的环境容量。</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大宗物料优先采用铁路、管道或水路运输，短途接驳优先使用新能源车辆运输。</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本项目不属于限制开发建设活动</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left"/>
                    <w:rPr>
                      <w:rFonts w:ascii="Times New Roman" w:hAnsi="Times New Roman" w:cs="Times New Roman"/>
                      <w:szCs w:val="21"/>
                      <w:u w:val="single"/>
                    </w:rPr>
                  </w:pPr>
                </w:p>
              </w:tc>
              <w:tc>
                <w:tcPr>
                  <w:tcW w:w="521"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不符合空间布局活动的退出要求</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 xml:space="preserve">产业结构较合理，已遵守项目准入门槛。 </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本次调整后仓储用地面积有所减小，工业用地面积有所增加，导致与《白城市总体规划》、《白城市土地利用总体规划》不相符，建议园区与规划局及时沟通，在下一轮规划修编时将本次调整内容进行相应调整。</w:t>
                  </w:r>
                </w:p>
              </w:tc>
              <w:tc>
                <w:tcPr>
                  <w:tcW w:w="2072" w:type="dxa"/>
                  <w:noWrap/>
                  <w:vAlign w:val="center"/>
                </w:tcPr>
                <w:p>
                  <w:pPr>
                    <w:adjustRightInd w:val="0"/>
                    <w:snapToGrid w:val="0"/>
                    <w:jc w:val="left"/>
                    <w:rPr>
                      <w:rFonts w:ascii="Times New Roman" w:hAnsi="Times New Roman" w:cs="Times New Roman"/>
                      <w:szCs w:val="21"/>
                      <w:u w:val="single"/>
                    </w:rPr>
                  </w:pPr>
                  <w:r>
                    <w:rPr>
                      <w:rFonts w:hint="eastAsia" w:ascii="Times New Roman" w:hAnsi="Times New Roman" w:cs="Times New Roman"/>
                      <w:szCs w:val="21"/>
                      <w:u w:val="single"/>
                    </w:rPr>
                    <w:t>本项目符合规划。</w:t>
                  </w:r>
                </w:p>
              </w:tc>
              <w:tc>
                <w:tcPr>
                  <w:tcW w:w="90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污染物排放管控</w:t>
                  </w: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总量控制和污染物减排</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开发多引进污染少、能耗</w:t>
                  </w:r>
                  <w:r>
                    <w:rPr>
                      <w:rFonts w:ascii="Times New Roman" w:hAnsi="Times New Roman" w:cs="Times New Roman"/>
                      <w:spacing w:val="-11"/>
                      <w:szCs w:val="21"/>
                      <w:u w:val="single"/>
                    </w:rPr>
                    <w:t>低、效益高的产业项目，禁</w:t>
                  </w:r>
                  <w:r>
                    <w:rPr>
                      <w:rFonts w:ascii="Times New Roman" w:hAnsi="Times New Roman" w:cs="Times New Roman"/>
                      <w:szCs w:val="21"/>
                      <w:u w:val="single"/>
                    </w:rPr>
                    <w:t>止引入大气污染严重的项目；</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开发区管委会加强对区内VOCs重点管控，提高涉及VOCs主要排放工序密闭化水平，加强无组织排放其他收集效率，加大含VOCs物料储存和装卸治理力度，推广使用低VOCs含量或低反应活性的原辅材料，加快工艺改进和产品升级。</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本项目不属于大气污染严重的项目。</w:t>
                  </w:r>
                </w:p>
              </w:tc>
              <w:tc>
                <w:tcPr>
                  <w:tcW w:w="90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restart"/>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left"/>
                    <w:rPr>
                      <w:rFonts w:asciiTheme="minorEastAsia" w:hAnsiTheme="minorEastAsia" w:cstheme="minorEastAsia"/>
                      <w:szCs w:val="21"/>
                      <w:u w:val="single"/>
                    </w:rPr>
                  </w:pPr>
                  <w:r>
                    <w:rPr>
                      <w:rFonts w:asciiTheme="minorEastAsia" w:hAnsiTheme="minorEastAsia" w:cstheme="minorEastAsia"/>
                      <w:szCs w:val="21"/>
                      <w:u w:val="single"/>
                    </w:rPr>
                    <w:t>现有源提标升级改造</w:t>
                  </w:r>
                </w:p>
              </w:tc>
              <w:tc>
                <w:tcPr>
                  <w:tcW w:w="2583" w:type="dxa"/>
                  <w:noWrap/>
                  <w:vAlign w:val="center"/>
                </w:tcPr>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推动规划区内产业优化升级，目前区内以机加及建材业、农产品加工业为主导产业，应依托现有的产业基础，向高新尖产业发展，提高科技创新能力、市场竞争力，形成产业链条，不断提高市场竞争力和抵御风险的能力。提高重大成套技术装备的系统设计和集成创新能力，围绕装备、建材等领域，建设和完善一批制造业</w:t>
                  </w:r>
                  <w:r>
                    <w:rPr>
                      <w:rFonts w:hint="eastAsia" w:asciiTheme="minorEastAsia" w:hAnsiTheme="minorEastAsia" w:cstheme="minorEastAsia"/>
                      <w:spacing w:val="-11"/>
                      <w:szCs w:val="21"/>
                      <w:u w:val="single"/>
                    </w:rPr>
                    <w:t>技术创新平台，加强关键共性技术研发、中间试验和工程化验证，提升技术创新能力</w:t>
                  </w:r>
                  <w:r>
                    <w:rPr>
                      <w:rFonts w:hint="eastAsia" w:asciiTheme="minorEastAsia" w:hAnsiTheme="minorEastAsia" w:cstheme="minorEastAsia"/>
                      <w:szCs w:val="21"/>
                      <w:u w:val="single"/>
                    </w:rPr>
                    <w:t>。</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同时，推动信息化与产业深度融合，抓住信息化高速发展的历史机遇，以信息化带动三次产业发展，更深层次地推动信息技术与传统产业的融合，促进经济结构的调整与传统产业升级。</w:t>
                  </w:r>
                </w:p>
                <w:p>
                  <w:pPr>
                    <w:adjustRightInd w:val="0"/>
                    <w:snapToGrid w:val="0"/>
                    <w:jc w:val="left"/>
                    <w:rPr>
                      <w:rFonts w:asciiTheme="minorEastAsia" w:hAnsiTheme="minorEastAsia" w:cstheme="minorEastAsia"/>
                      <w:szCs w:val="21"/>
                      <w:u w:val="single"/>
                    </w:rPr>
                  </w:pPr>
                  <w:r>
                    <w:rPr>
                      <w:rFonts w:hint="eastAsia" w:asciiTheme="minorEastAsia" w:hAnsiTheme="minorEastAsia" w:cstheme="minorEastAsia"/>
                      <w:szCs w:val="21"/>
                      <w:u w:val="single"/>
                    </w:rPr>
                    <w:t>加强能源等基础产业的创新能力，不断深化节能减排技术创新，加强电力需求侧管理、配电网建设改造、煤电节能减排升级改造、电力消纳、油页岩综合利用、智能电网等技术的开发和推广，提高资源综合开发利用水平。开发区新建供热设施满足《锅炉大气污染物排放标准》（GB13271-2014）中新建锅炉大气污染物排放浓度限值要求。</w:t>
                  </w:r>
                </w:p>
              </w:tc>
              <w:tc>
                <w:tcPr>
                  <w:tcW w:w="2072" w:type="dxa"/>
                  <w:noWrap/>
                  <w:vAlign w:val="center"/>
                </w:tcPr>
                <w:p>
                  <w:pPr>
                    <w:adjustRightInd w:val="0"/>
                    <w:snapToGrid w:val="0"/>
                    <w:jc w:val="left"/>
                    <w:rPr>
                      <w:rFonts w:asciiTheme="minorEastAsia" w:hAnsiTheme="minorEastAsia" w:cstheme="minorEastAsia"/>
                      <w:szCs w:val="21"/>
                      <w:u w:val="single"/>
                    </w:rPr>
                  </w:pPr>
                  <w:r>
                    <w:rPr>
                      <w:rFonts w:asciiTheme="minorEastAsia" w:hAnsiTheme="minorEastAsia" w:cstheme="minorEastAsia"/>
                      <w:szCs w:val="21"/>
                      <w:u w:val="single"/>
                    </w:rPr>
                    <w:t>本项目</w:t>
                  </w:r>
                  <w:r>
                    <w:rPr>
                      <w:rFonts w:hint="eastAsia" w:asciiTheme="minorEastAsia" w:hAnsiTheme="minorEastAsia" w:cstheme="minorEastAsia"/>
                      <w:color w:val="000000" w:themeColor="text1"/>
                      <w:szCs w:val="21"/>
                      <w:u w:val="single"/>
                    </w:rPr>
                    <w:t>位于机加与建材区域，项目建成后有利于废弃资源综合利用</w:t>
                  </w:r>
                  <w:r>
                    <w:rPr>
                      <w:rFonts w:asciiTheme="minorEastAsia" w:hAnsiTheme="minorEastAsia" w:cstheme="minorEastAsia"/>
                      <w:color w:val="000000" w:themeColor="text1"/>
                      <w:szCs w:val="21"/>
                      <w:u w:val="single"/>
                    </w:rPr>
                    <w:t>。</w:t>
                  </w:r>
                </w:p>
              </w:tc>
              <w:tc>
                <w:tcPr>
                  <w:tcW w:w="903" w:type="dxa"/>
                  <w:noWrap/>
                  <w:vAlign w:val="center"/>
                </w:tcPr>
                <w:p>
                  <w:pPr>
                    <w:adjustRightInd w:val="0"/>
                    <w:snapToGrid w:val="0"/>
                    <w:jc w:val="left"/>
                    <w:rPr>
                      <w:rFonts w:ascii="Times New Roman" w:hAnsi="Times New Roman" w:cs="Times New Roman"/>
                      <w:szCs w:val="21"/>
                      <w:u w:val="single"/>
                    </w:rPr>
                  </w:pPr>
                  <w:r>
                    <w:rPr>
                      <w:rFonts w:hint="eastAsia"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新增源排放限制</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新建、改建、扩建重点行业建设项目实行主要污染物排放总量控制。</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本项目不属于重点项目</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环境风险防控</w:t>
                  </w: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用地环境风险防控要求</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居住用地污染风险防控区，严格污染场地开发利用和流转审批，在影响健康地块修复达标之前，禁止新建居民区、学校和养老机构；</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建设用地污染风险重点防控区，严格污染场地开发利用和流转审批，在影响企业食品、药品生产地块的修复达标之前，禁止项目新建医</w:t>
                  </w:r>
                  <w:r>
                    <w:rPr>
                      <w:rFonts w:ascii="Times New Roman" w:hAnsi="Times New Roman" w:cs="Times New Roman"/>
                      <w:spacing w:val="-11"/>
                      <w:szCs w:val="21"/>
                      <w:u w:val="single"/>
                    </w:rPr>
                    <w:t>药、食品、农副食品加工企业</w:t>
                  </w:r>
                  <w:r>
                    <w:rPr>
                      <w:rFonts w:ascii="Times New Roman" w:hAnsi="Times New Roman" w:cs="Times New Roman"/>
                      <w:szCs w:val="21"/>
                      <w:u w:val="single"/>
                    </w:rPr>
                    <w:t>；</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一般区域，严格污染场地开发利用和流转审批，在地块修复达标前禁止企业入区。</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w:t>
                  </w:r>
                  <w:r>
                    <w:rPr>
                      <w:rFonts w:ascii="Times New Roman" w:hAnsi="Times New Roman" w:cs="Times New Roman"/>
                      <w:color w:val="000000" w:themeColor="text1"/>
                      <w:szCs w:val="21"/>
                      <w:u w:val="single"/>
                    </w:rPr>
                    <w:t>不涉及占用污染场地。</w:t>
                  </w:r>
                  <w:r>
                    <w:rPr>
                      <w:rFonts w:hint="eastAsia" w:ascii="Times New Roman" w:hAnsi="Times New Roman" w:cs="Times New Roman"/>
                      <w:color w:val="000000" w:themeColor="text1"/>
                      <w:szCs w:val="21"/>
                      <w:u w:val="single"/>
                    </w:rPr>
                    <w:t>在运营过程中加强用地环境防控。</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园区环境风险防控要求</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制定环境风险应急预案，成立园区应急组织机构，建立环境风险应急防控体系，定期开展应急演练，提高区域环境风险防范能力；开发区引进企业按照产业集中布局原则，加强园区环境风险防控。</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本项目所在开发区已制定环境风险应急预案。</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企业环境风险防控要求</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禁止涉及易导致环境风险的有毒有害和易燃易爆物质的生产、使用、排放、贮运等新建、改扩建项目。</w:t>
                  </w:r>
                </w:p>
              </w:tc>
              <w:tc>
                <w:tcPr>
                  <w:tcW w:w="2072" w:type="dxa"/>
                  <w:noWrap/>
                  <w:vAlign w:val="center"/>
                </w:tcPr>
                <w:p>
                  <w:pPr>
                    <w:adjustRightInd w:val="0"/>
                    <w:snapToGrid w:val="0"/>
                    <w:jc w:val="left"/>
                    <w:rPr>
                      <w:rFonts w:ascii="Times New Roman" w:hAnsi="Times New Roman" w:cs="Times New Roman"/>
                      <w:szCs w:val="21"/>
                      <w:u w:val="single"/>
                    </w:rPr>
                  </w:pPr>
                  <w:r>
                    <w:rPr>
                      <w:rFonts w:hint="eastAsia" w:ascii="Times New Roman" w:hAnsi="Times New Roman" w:cs="Times New Roman"/>
                      <w:szCs w:val="21"/>
                      <w:u w:val="single"/>
                    </w:rPr>
                    <w:t>本项目不涉及。</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restart"/>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资源利用要求</w:t>
                  </w:r>
                </w:p>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水资源利用效率要求</w:t>
                  </w:r>
                </w:p>
              </w:tc>
              <w:tc>
                <w:tcPr>
                  <w:tcW w:w="2583"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eastAsia="宋体" w:cs="Times New Roman"/>
                      <w:szCs w:val="21"/>
                      <w:u w:val="single"/>
                    </w:rPr>
                    <w:t>开发区应按照各功能区功能定位和发展循环经济要求，根据水资源、水环境承载能力，进一步优化产业布局和结构，实现集约发展和水资源高效利用，限制高耗水、高污染企业入驻，促进水资源循环高效利用；挖掘现有供水潜力，加大废水深度处理回用，全面提高水资源利用效率。</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w:t>
                  </w:r>
                  <w:r>
                    <w:rPr>
                      <w:rFonts w:hint="eastAsia" w:ascii="Times New Roman" w:hAnsi="Times New Roman" w:cs="Times New Roman"/>
                      <w:szCs w:val="21"/>
                      <w:u w:val="single"/>
                    </w:rPr>
                    <w:t>不涉及</w:t>
                  </w:r>
                  <w:r>
                    <w:rPr>
                      <w:rFonts w:ascii="Times New Roman" w:hAnsi="Times New Roman" w:cs="Times New Roman"/>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地下水开采要求</w:t>
                  </w:r>
                </w:p>
              </w:tc>
              <w:tc>
                <w:tcPr>
                  <w:tcW w:w="2583"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eastAsia="宋体" w:cs="Times New Roman"/>
                      <w:szCs w:val="21"/>
                      <w:u w:val="single"/>
                    </w:rPr>
                    <w:t>严控地下水开采，加快区内供水管网建设，尽快实现开发区现有企业集中供水，限制高耗水企业入区，避免区内地下水过度开采。</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w:t>
                  </w:r>
                  <w:r>
                    <w:rPr>
                      <w:rFonts w:hint="eastAsia" w:ascii="Times New Roman" w:hAnsi="Times New Roman" w:cs="Times New Roman"/>
                      <w:szCs w:val="21"/>
                      <w:u w:val="single"/>
                    </w:rPr>
                    <w:t>不涉及</w:t>
                  </w:r>
                  <w:r>
                    <w:rPr>
                      <w:rFonts w:ascii="Times New Roman" w:hAnsi="Times New Roman" w:cs="Times New Roman"/>
                      <w:szCs w:val="21"/>
                      <w:u w:val="single"/>
                    </w:rPr>
                    <w:t>开采地下水。</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能源利用效率要求</w:t>
                  </w:r>
                </w:p>
              </w:tc>
              <w:tc>
                <w:tcPr>
                  <w:tcW w:w="2583"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eastAsia="宋体" w:cs="Times New Roman"/>
                      <w:szCs w:val="21"/>
                      <w:u w:val="single"/>
                    </w:rPr>
                    <w:t>规划近期单位工业增加值能耗≤0.5（吨标煤/万元）；规划远期单位工业增加值能耗≤0.5（吨标煤/万元）；开发区应减少单位工业增加值综合能耗，提高可再生能源使用比例，提高能源利用效率。</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本项目冬季采暖采用</w:t>
                  </w:r>
                  <w:r>
                    <w:rPr>
                      <w:rFonts w:hint="eastAsia" w:ascii="Times New Roman" w:hAnsi="Times New Roman" w:cs="Times New Roman"/>
                      <w:szCs w:val="21"/>
                      <w:u w:val="single"/>
                    </w:rPr>
                    <w:t>电取暖，</w:t>
                  </w:r>
                  <w:r>
                    <w:rPr>
                      <w:rFonts w:ascii="Times New Roman" w:hAnsi="Times New Roman" w:cs="Times New Roman"/>
                      <w:szCs w:val="21"/>
                      <w:u w:val="single"/>
                    </w:rPr>
                    <w:t>不燃用煤炭</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pStyle w:val="2"/>
                    <w:snapToGrid w:val="0"/>
                    <w:spacing w:line="240" w:lineRule="auto"/>
                    <w:ind w:firstLine="0" w:firstLineChars="0"/>
                    <w:jc w:val="left"/>
                    <w:rPr>
                      <w:rFonts w:ascii="Times New Roman" w:hAnsi="Times New Roman" w:cs="Times New Roman"/>
                      <w:color w:val="auto"/>
                      <w:sz w:val="21"/>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高污染燃料禁燃</w:t>
                  </w:r>
                </w:p>
              </w:tc>
              <w:tc>
                <w:tcPr>
                  <w:tcW w:w="2583"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eastAsia="宋体" w:cs="Times New Roman"/>
                      <w:szCs w:val="21"/>
                      <w:u w:val="single"/>
                    </w:rPr>
                    <w:t>除在安全或者产业布局等方面有特殊要求的项目以外，应该减少或避免新建和扩建采用非清洁燃料的项目和设施。禁止燃用、销售高污染燃料，提高区内天然气、电能等清洁燃料的使用比例。划定的高污染燃料禁燃区内，禁止燃用、销售高污染燃料，禁止新建、改建、扩建任何燃用高污染燃料的设施。</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项目冬季采暖采用</w:t>
                  </w:r>
                  <w:r>
                    <w:rPr>
                      <w:rFonts w:hint="eastAsia" w:ascii="Times New Roman" w:hAnsi="Times New Roman" w:cs="Times New Roman"/>
                      <w:szCs w:val="21"/>
                      <w:u w:val="single"/>
                    </w:rPr>
                    <w:t>电取暖</w:t>
                  </w:r>
                  <w:r>
                    <w:rPr>
                      <w:rFonts w:ascii="Times New Roman" w:hAnsi="Times New Roman" w:cs="Times New Roman"/>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《白城市人民政府关于实施“三线一单”生态环境分区管控的意见》（白政函【2021】</w:t>
                  </w:r>
                </w:p>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68号）</w:t>
                  </w:r>
                </w:p>
              </w:tc>
              <w:tc>
                <w:tcPr>
                  <w:tcW w:w="1042" w:type="dxa"/>
                  <w:gridSpan w:val="2"/>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空间布局约束</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严格落实《中华人民共和国自然保护区条例（2017年修订）》《水产种质资源保护区管理暂行办法（2016年修正）》《国家湿地公园管理办法》《国家级森林公园管理办法》《湿地保护管理规程》《中华人民共和国森林法（2020年修订）》《中华人民共和国草原法（2013年修正）》要求。</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项目严格遵守要求。</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104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推进建设现代化绿色产业基地，包括现代农业产业基地、新能源产业基地、新兴产业发展基地。通过实现低碳发展，与区域生态安全格局相衔接，形成东西保育、中部开敞的生态格局。</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本项目不涉及上述。</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104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禁止在二十度以上陡坡地开垦种质农作物。禁止在崩塌、滑坡危险区和泥石流易发区从事取土、挖砂、采石等可能造成水土流失的活动。</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盐渍化极敏感和敏感占比较大的区域，原则上不再新建各类产业园区，严禁随意扩大现有产业园区范围。</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本项目不属于上述“敏感”区域，项目所在园区不涉及“扩界”。</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104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大力推进退牧还草、草原防灾减灾、鼠虫草害防治、严重碱化退化沙化草原治理等重大工程，严格落实草原禁牧和草畜平衡制度；到2025年，森林覆盖率达到13%，筑牢吉林省西部生态屏障。</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本项目不涉及上述“工程”。</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污染物排放管控</w:t>
                  </w: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环境质量目标</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大气环境质量持续改善。2025年、2035年全市PM</w:t>
                  </w:r>
                  <w:r>
                    <w:rPr>
                      <w:rFonts w:ascii="Times New Roman" w:hAnsi="Times New Roman" w:cs="Times New Roman"/>
                      <w:szCs w:val="21"/>
                      <w:u w:val="single"/>
                      <w:vertAlign w:val="subscript"/>
                    </w:rPr>
                    <w:t>2.5</w:t>
                  </w:r>
                  <w:r>
                    <w:rPr>
                      <w:rFonts w:ascii="Times New Roman" w:hAnsi="Times New Roman" w:cs="Times New Roman"/>
                      <w:szCs w:val="21"/>
                      <w:u w:val="single"/>
                    </w:rPr>
                    <w:t>年均浓度控制在35微克/立方米以下，并保持稳定。</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项目所在区域各项大气环境质量因子均能够满足二级标准要求，项目的各大气污染源经采用有效的治理后，均能够满足达标排放。</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水环境质量持续改善。2025年，水生态环境质量全面改善，劣V类水体全面消除，河流生态水量得到基本保障，生态环境质量实现根本好转，水生态系统功能初步恢复。嫩江、洮儿河水质达到或优于II类以上，各断面水质不出现V类。县级以上城市集中式饮用水水源水质全部达到或优于Il类。重点湖泊水质稳定达标。2035年，水生态环境质量在满足水生态功能区要求外，河流生态水量得到根本</w:t>
                  </w:r>
                  <w:r>
                    <w:rPr>
                      <w:rFonts w:ascii="Times New Roman" w:hAnsi="Times New Roman" w:cs="Times New Roman"/>
                      <w:spacing w:val="-6"/>
                      <w:szCs w:val="21"/>
                      <w:u w:val="single"/>
                    </w:rPr>
                    <w:t>保障，水生态系统功能全面改善。嫩江、洮儿河水质达到优良以上。全市集中式饮用水源水质全部达到或优于I</w:t>
                  </w:r>
                  <w:r>
                    <w:rPr>
                      <w:rFonts w:ascii="Times New Roman" w:hAnsi="Times New Roman" w:cs="Times New Roman"/>
                      <w:spacing w:val="-11"/>
                      <w:szCs w:val="21"/>
                      <w:u w:val="single"/>
                    </w:rPr>
                    <w:t>II类。重点湖泊水质稳定达标</w:t>
                  </w:r>
                  <w:r>
                    <w:rPr>
                      <w:rFonts w:ascii="Times New Roman" w:hAnsi="Times New Roman" w:cs="Times New Roman"/>
                      <w:szCs w:val="21"/>
                      <w:u w:val="single"/>
                    </w:rPr>
                    <w:t>。</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项目的建成投产不改变区域水环境质量。</w:t>
                  </w:r>
                </w:p>
              </w:tc>
              <w:tc>
                <w:tcPr>
                  <w:tcW w:w="903" w:type="dxa"/>
                  <w:noWrap/>
                  <w:vAlign w:val="center"/>
                </w:tcPr>
                <w:p>
                  <w:pPr>
                    <w:adjustRightInd w:val="0"/>
                    <w:snapToGrid w:val="0"/>
                    <w:jc w:val="center"/>
                    <w:rPr>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58" w:hRule="atLeast"/>
              </w:trPr>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土壤环境质量持续改善。到2025年，受污染耕地安全利用率达到92%以上，污染地块安全利用率达到92%以上；到2035年，受污染耕地安全利用率达到97%以上，污染地块安全利用率达到97%以上。</w:t>
                  </w:r>
                </w:p>
              </w:tc>
              <w:tc>
                <w:tcPr>
                  <w:tcW w:w="2072"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项目的建成投产不突破区域土壤环境质量；</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55" w:hRule="atLeast"/>
              </w:trPr>
              <w:tc>
                <w:tcPr>
                  <w:tcW w:w="1572" w:type="dxa"/>
                  <w:gridSpan w:val="2"/>
                  <w:vMerge w:val="restart"/>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污染物控制要求</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补齐城镇污水收集管网短板，加快城中村、老旧城区、城乡结合部等区域生活污水收集管网建设，加快消除收集管网空白区。</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县级及以上城市全面推进污泥无害化处理设施能力建设，限制未经脱水处理达标的污泥在垃圾填埋场填埋。</w:t>
                  </w:r>
                </w:p>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到2025年底，因地制宜基本建成生活垃圾分类和处理系统，支持建制镇加快补齐生活垃圾收集、转运和无害化处理设施短板。</w:t>
                  </w:r>
                </w:p>
              </w:tc>
              <w:tc>
                <w:tcPr>
                  <w:tcW w:w="2072"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cs="Times New Roman"/>
                      <w:szCs w:val="21"/>
                      <w:u w:val="single"/>
                    </w:rPr>
                    <w:t>项目生活垃圾采用分类收集，定期送至环卫部门指定地点处理。</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58" w:hRule="atLeast"/>
              </w:trPr>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1042" w:type="dxa"/>
                  <w:gridSpan w:val="2"/>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环境风险防控</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有效应对突发环境事件，强化“一废一品一库”管理，完善突发环境事件应急预案体系以及环境风险三级防控体系。</w:t>
                  </w:r>
                </w:p>
              </w:tc>
              <w:tc>
                <w:tcPr>
                  <w:tcW w:w="2072" w:type="dxa"/>
                  <w:noWrap/>
                  <w:vAlign w:val="center"/>
                </w:tcPr>
                <w:p>
                  <w:pPr>
                    <w:adjustRightInd w:val="0"/>
                    <w:snapToGrid w:val="0"/>
                    <w:jc w:val="left"/>
                    <w:rPr>
                      <w:rFonts w:ascii="Times New Roman" w:hAnsi="Times New Roman" w:eastAsia="宋体" w:cs="Times New Roman"/>
                      <w:szCs w:val="21"/>
                      <w:u w:val="single"/>
                    </w:rPr>
                  </w:pPr>
                  <w:r>
                    <w:rPr>
                      <w:rFonts w:ascii="Times New Roman" w:hAnsi="Times New Roman" w:cs="Times New Roman"/>
                      <w:szCs w:val="21"/>
                      <w:u w:val="single"/>
                    </w:rPr>
                    <w:t>项目目前尚未建设完毕，建设完毕后，将依法编制突发环境事件应急预案，落实完善应急预案体系以及环境风险三级防控体系</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9" w:hRule="atLeast"/>
              </w:trPr>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restart"/>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资源利用要求</w:t>
                  </w: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水资源</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2025年，水资源管理控制指标为30.0亿m</w:t>
                  </w:r>
                  <w:r>
                    <w:rPr>
                      <w:rFonts w:ascii="Times New Roman" w:hAnsi="Times New Roman" w:cs="Times New Roman"/>
                      <w:szCs w:val="21"/>
                      <w:u w:val="single"/>
                      <w:vertAlign w:val="superscript"/>
                    </w:rPr>
                    <w:t>3</w:t>
                  </w:r>
                  <w:r>
                    <w:rPr>
                      <w:rFonts w:ascii="Times New Roman" w:hAnsi="Times New Roman" w:cs="Times New Roman"/>
                      <w:szCs w:val="21"/>
                      <w:u w:val="single"/>
                    </w:rPr>
                    <w:t>；2035年，水资源管理控制指标为33.4亿m</w:t>
                  </w:r>
                  <w:r>
                    <w:rPr>
                      <w:rFonts w:ascii="Times New Roman" w:hAnsi="Times New Roman" w:cs="Times New Roman"/>
                      <w:szCs w:val="21"/>
                      <w:u w:val="single"/>
                      <w:vertAlign w:val="superscript"/>
                    </w:rPr>
                    <w:t>3</w:t>
                  </w:r>
                  <w:r>
                    <w:rPr>
                      <w:rFonts w:ascii="Times New Roman" w:hAnsi="Times New Roman" w:cs="Times New Roman"/>
                      <w:szCs w:val="21"/>
                      <w:u w:val="single"/>
                    </w:rPr>
                    <w:t>。</w:t>
                  </w:r>
                </w:p>
              </w:tc>
              <w:tc>
                <w:tcPr>
                  <w:tcW w:w="2072" w:type="dxa"/>
                  <w:noWrap/>
                  <w:vAlign w:val="center"/>
                </w:tcPr>
                <w:p>
                  <w:pPr>
                    <w:adjustRightInd w:val="0"/>
                    <w:snapToGrid w:val="0"/>
                    <w:jc w:val="left"/>
                    <w:rPr>
                      <w:rFonts w:ascii="Times New Roman" w:hAnsi="Times New Roman" w:cs="Times New Roman"/>
                      <w:szCs w:val="21"/>
                      <w:u w:val="single"/>
                    </w:rPr>
                  </w:pPr>
                  <w:r>
                    <w:rPr>
                      <w:rFonts w:hint="eastAsia" w:ascii="Times New Roman" w:hAnsi="Times New Roman" w:cs="Times New Roman"/>
                      <w:szCs w:val="21"/>
                      <w:u w:val="single"/>
                      <w:lang w:eastAsia="zh-CN"/>
                    </w:rPr>
                    <w:t>本</w:t>
                  </w:r>
                  <w:r>
                    <w:rPr>
                      <w:rFonts w:ascii="Times New Roman" w:hAnsi="Times New Roman" w:cs="Times New Roman"/>
                      <w:szCs w:val="21"/>
                      <w:u w:val="single"/>
                    </w:rPr>
                    <w:t>项目不涉及</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用水量</w:t>
                  </w:r>
                  <w:r>
                    <w:rPr>
                      <w:rFonts w:hint="eastAsia" w:ascii="Times New Roman" w:hAnsi="Times New Roman" w:cs="Times New Roman"/>
                      <w:szCs w:val="21"/>
                      <w:u w:val="single"/>
                      <w:lang w:eastAsia="zh-CN"/>
                    </w:rPr>
                    <w:t>较</w:t>
                  </w:r>
                  <w:r>
                    <w:rPr>
                      <w:rFonts w:hint="eastAsia" w:ascii="Times New Roman" w:hAnsi="Times New Roman" w:cs="Times New Roman"/>
                      <w:szCs w:val="21"/>
                      <w:u w:val="single"/>
                    </w:rPr>
                    <w:t>少</w:t>
                  </w:r>
                  <w:r>
                    <w:rPr>
                      <w:rFonts w:hint="eastAsia" w:ascii="Times New Roman" w:hAnsi="Times New Roman" w:cs="Times New Roman"/>
                      <w:szCs w:val="21"/>
                      <w:u w:val="single"/>
                      <w:lang w:eastAsia="zh-CN"/>
                    </w:rPr>
                    <w:t>，无需申请</w:t>
                  </w:r>
                  <w:r>
                    <w:rPr>
                      <w:rFonts w:ascii="Times New Roman" w:hAnsi="Times New Roman" w:cs="Times New Roman"/>
                      <w:szCs w:val="21"/>
                      <w:u w:val="single"/>
                    </w:rPr>
                    <w:t>取用水资源</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9" w:hRule="atLeast"/>
              </w:trPr>
              <w:tc>
                <w:tcPr>
                  <w:tcW w:w="1572" w:type="dxa"/>
                  <w:gridSpan w:val="2"/>
                  <w:vMerge w:val="continue"/>
                  <w:noWrap/>
                  <w:vAlign w:val="center"/>
                </w:tcPr>
                <w:p>
                  <w:pPr>
                    <w:adjustRightInd w:val="0"/>
                    <w:snapToGrid w:val="0"/>
                    <w:jc w:val="center"/>
                    <w:rPr>
                      <w:u w:val="single"/>
                    </w:rPr>
                  </w:pPr>
                </w:p>
              </w:tc>
              <w:tc>
                <w:tcPr>
                  <w:tcW w:w="521" w:type="dxa"/>
                  <w:vMerge w:val="continue"/>
                  <w:noWrap/>
                  <w:vAlign w:val="center"/>
                </w:tcPr>
                <w:p>
                  <w:pPr>
                    <w:adjustRightInd w:val="0"/>
                    <w:snapToGrid w:val="0"/>
                    <w:jc w:val="center"/>
                    <w:rPr>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土地资源</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待国土空间规划发布后从其要求。</w:t>
                  </w:r>
                </w:p>
              </w:tc>
              <w:tc>
                <w:tcPr>
                  <w:tcW w:w="2072"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9" w:hRule="atLeast"/>
              </w:trPr>
              <w:tc>
                <w:tcPr>
                  <w:tcW w:w="1572" w:type="dxa"/>
                  <w:gridSpan w:val="2"/>
                  <w:vMerge w:val="continue"/>
                  <w:noWrap/>
                  <w:vAlign w:val="center"/>
                </w:tcPr>
                <w:p>
                  <w:pPr>
                    <w:adjustRightInd w:val="0"/>
                    <w:snapToGrid w:val="0"/>
                    <w:jc w:val="center"/>
                    <w:rPr>
                      <w:rFonts w:ascii="Times New Roman" w:hAnsi="Times New Roman" w:cs="Times New Roman"/>
                      <w:szCs w:val="21"/>
                      <w:u w:val="single"/>
                    </w:rPr>
                  </w:pPr>
                </w:p>
              </w:tc>
              <w:tc>
                <w:tcPr>
                  <w:tcW w:w="521" w:type="dxa"/>
                  <w:vMerge w:val="continue"/>
                  <w:noWrap/>
                  <w:vAlign w:val="center"/>
                </w:tcPr>
                <w:p>
                  <w:pPr>
                    <w:adjustRightInd w:val="0"/>
                    <w:snapToGrid w:val="0"/>
                    <w:jc w:val="center"/>
                    <w:rPr>
                      <w:rFonts w:ascii="Times New Roman" w:hAnsi="Times New Roman" w:cs="Times New Roman"/>
                      <w:szCs w:val="21"/>
                      <w:u w:val="single"/>
                    </w:rPr>
                  </w:pPr>
                </w:p>
              </w:tc>
              <w:tc>
                <w:tcPr>
                  <w:tcW w:w="521"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能源</w:t>
                  </w:r>
                </w:p>
              </w:tc>
              <w:tc>
                <w:tcPr>
                  <w:tcW w:w="2583" w:type="dxa"/>
                  <w:noWrap/>
                  <w:vAlign w:val="center"/>
                </w:tcPr>
                <w:p>
                  <w:pPr>
                    <w:adjustRightInd w:val="0"/>
                    <w:snapToGrid w:val="0"/>
                    <w:jc w:val="left"/>
                    <w:rPr>
                      <w:rFonts w:ascii="Times New Roman" w:hAnsi="Times New Roman" w:cs="Times New Roman"/>
                      <w:szCs w:val="21"/>
                      <w:u w:val="single"/>
                    </w:rPr>
                  </w:pPr>
                  <w:r>
                    <w:rPr>
                      <w:rFonts w:ascii="Times New Roman" w:hAnsi="Times New Roman" w:cs="Times New Roman"/>
                      <w:szCs w:val="21"/>
                      <w:u w:val="single"/>
                    </w:rPr>
                    <w:t>依据省级下达的控制目标管理。</w:t>
                  </w:r>
                </w:p>
              </w:tc>
              <w:tc>
                <w:tcPr>
                  <w:tcW w:w="2072"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903" w:type="dxa"/>
                  <w:noWrap/>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不违背</w:t>
                  </w:r>
                </w:p>
              </w:tc>
            </w:tr>
          </w:tbl>
          <w:p>
            <w:pPr>
              <w:pStyle w:val="2"/>
              <w:ind w:firstLine="0" w:firstLineChars="0"/>
              <w:rPr>
                <w:kern w:val="0"/>
                <w:sz w:val="24"/>
                <w:u w:val="single"/>
              </w:rPr>
            </w:pPr>
          </w:p>
          <w:p>
            <w:pPr>
              <w:autoSpaceDE w:val="0"/>
              <w:autoSpaceDN w:val="0"/>
              <w:adjustRightInd w:val="0"/>
              <w:snapToGrid w:val="0"/>
              <w:spacing w:line="360" w:lineRule="auto"/>
              <w:ind w:firstLine="420"/>
              <w:jc w:val="left"/>
              <w:rPr>
                <w:rFonts w:ascii="宋体" w:hAnsi="宋体" w:cs="宋体"/>
                <w:kern w:val="0"/>
                <w:sz w:val="24"/>
                <w:u w:val="single"/>
              </w:rPr>
            </w:pPr>
            <w:r>
              <w:rPr>
                <w:rFonts w:hint="eastAsia" w:ascii="宋体" w:hAnsi="宋体" w:cs="宋体"/>
                <w:kern w:val="0"/>
                <w:sz w:val="24"/>
                <w:u w:val="single"/>
              </w:rPr>
              <w:t>本项目属于报废农业机械回收拆解项目，项目建设可以提升区域废弃资源回收利用效率，带动地方经济，增加就业岗位，促进农业机械使用和回收行业健康发展，符合以经济社会可持续发展为导向的原则；项目针对废气、废水、噪声和固体废物均采取了较为合理和可行的污染防治措施和技术，废气、废水和噪声均可达标排放，固体废物均得到了有效合理的处理处置，基本不会对环境产生二次影响，本项目建设执行了生态环境保护的基本要求，对周边环境的影响在可接受范围内。</w:t>
            </w:r>
          </w:p>
          <w:p>
            <w:pPr>
              <w:overflowPunct w:val="0"/>
              <w:autoSpaceDE w:val="0"/>
              <w:autoSpaceDN w:val="0"/>
              <w:adjustRightInd w:val="0"/>
              <w:snapToGrid w:val="0"/>
              <w:spacing w:line="360" w:lineRule="auto"/>
              <w:ind w:firstLine="420"/>
              <w:jc w:val="left"/>
              <w:rPr>
                <w:rFonts w:ascii="宋体" w:hAnsi="宋体" w:cs="宋体"/>
                <w:spacing w:val="-6"/>
                <w:kern w:val="0"/>
                <w:sz w:val="24"/>
                <w:u w:val="single"/>
              </w:rPr>
            </w:pPr>
            <w:r>
              <w:rPr>
                <w:rFonts w:hint="eastAsia" w:ascii="宋体" w:hAnsi="宋体" w:cs="宋体"/>
                <w:spacing w:val="-6"/>
                <w:kern w:val="0"/>
                <w:sz w:val="24"/>
                <w:u w:val="single"/>
              </w:rPr>
              <w:t>故本项目建设符合吉林省和白城市关于生态环境</w:t>
            </w:r>
            <w:r>
              <w:rPr>
                <w:rFonts w:hint="eastAsia" w:ascii="宋体" w:hAnsi="宋体" w:cs="宋体"/>
                <w:spacing w:val="-6"/>
                <w:kern w:val="0"/>
                <w:sz w:val="24"/>
                <w:u w:val="single"/>
                <w:lang w:eastAsia="zh-CN"/>
              </w:rPr>
              <w:t>重点</w:t>
            </w:r>
            <w:r>
              <w:rPr>
                <w:rFonts w:hint="eastAsia" w:ascii="宋体" w:hAnsi="宋体" w:cs="宋体"/>
                <w:spacing w:val="-6"/>
                <w:kern w:val="0"/>
                <w:sz w:val="24"/>
                <w:u w:val="single"/>
              </w:rPr>
              <w:t>管控单元的管理要求。</w:t>
            </w:r>
          </w:p>
          <w:p>
            <w:pPr>
              <w:autoSpaceDE w:val="0"/>
              <w:autoSpaceDN w:val="0"/>
              <w:adjustRightInd w:val="0"/>
              <w:snapToGrid w:val="0"/>
              <w:spacing w:line="360" w:lineRule="auto"/>
              <w:ind w:firstLine="420"/>
              <w:jc w:val="left"/>
              <w:rPr>
                <w:rFonts w:ascii="宋体" w:hAnsi="宋体" w:cs="宋体"/>
                <w:kern w:val="0"/>
                <w:sz w:val="24"/>
              </w:rPr>
            </w:pPr>
            <w:r>
              <w:rPr>
                <w:rFonts w:hint="eastAsia" w:ascii="宋体" w:hAnsi="宋体" w:cs="宋体"/>
                <w:kern w:val="0"/>
                <w:sz w:val="24"/>
                <w:u w:val="single"/>
              </w:rPr>
              <w:t>综上，本项目符合《吉林省人民政府关于实施“三线一单”生态环境分区管控的意见》（吉政函[2020]101号）中“吉林省生态环境准入清单（总体准入要求）”相关要求，符合《白城市人民政府关于实施“三线一单”生态环境分区管控的意见》（白政函[2021]68号）及白城市生态环境准入有关规定要求，符合吉林省及白城市生态环境</w:t>
            </w:r>
            <w:r>
              <w:rPr>
                <w:rFonts w:hint="eastAsia" w:ascii="宋体" w:hAnsi="宋体" w:cs="宋体"/>
                <w:kern w:val="0"/>
                <w:sz w:val="24"/>
                <w:u w:val="single"/>
                <w:lang w:eastAsia="zh-CN"/>
              </w:rPr>
              <w:t>重点</w:t>
            </w:r>
            <w:r>
              <w:rPr>
                <w:rFonts w:hint="eastAsia" w:ascii="宋体" w:hAnsi="宋体" w:cs="宋体"/>
                <w:kern w:val="0"/>
                <w:sz w:val="24"/>
                <w:u w:val="single"/>
              </w:rPr>
              <w:t>管控单元的管控要求。</w:t>
            </w:r>
          </w:p>
          <w:p>
            <w:pPr>
              <w:autoSpaceDE w:val="0"/>
              <w:autoSpaceDN w:val="0"/>
              <w:adjustRightInd w:val="0"/>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（2）生态保护红线符合性分析</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本项目位于</w:t>
            </w:r>
            <w:r>
              <w:rPr>
                <w:rFonts w:ascii="Times New Roman" w:hAnsi="Times New Roman" w:eastAsia="宋体" w:cs="Times New Roman"/>
                <w:sz w:val="24"/>
              </w:rPr>
              <w:t>白城</w:t>
            </w:r>
            <w:r>
              <w:rPr>
                <w:rFonts w:hint="eastAsia" w:ascii="Times New Roman" w:hAnsi="Times New Roman" w:eastAsia="宋体" w:cs="Times New Roman"/>
                <w:sz w:val="24"/>
              </w:rPr>
              <w:t>工业园区东海路北99号</w:t>
            </w:r>
            <w:r>
              <w:rPr>
                <w:rFonts w:hint="eastAsia" w:ascii="宋体" w:hAnsi="宋体" w:cs="宋体"/>
                <w:sz w:val="24"/>
              </w:rPr>
              <w:t>，项目占地性质为工业用地</w:t>
            </w:r>
            <w:r>
              <w:rPr>
                <w:rFonts w:hint="eastAsia" w:ascii="宋体" w:hAnsi="宋体" w:cs="宋体"/>
                <w:kern w:val="0"/>
                <w:sz w:val="24"/>
              </w:rPr>
              <w:t>，位于生态环境</w:t>
            </w:r>
            <w:r>
              <w:rPr>
                <w:rFonts w:hint="eastAsia" w:ascii="宋体" w:hAnsi="宋体" w:cs="宋体"/>
                <w:kern w:val="0"/>
                <w:sz w:val="24"/>
                <w:lang w:eastAsia="zh-CN"/>
              </w:rPr>
              <w:t>重点</w:t>
            </w:r>
            <w:r>
              <w:rPr>
                <w:rFonts w:hint="eastAsia" w:ascii="宋体" w:hAnsi="宋体" w:cs="宋体"/>
                <w:kern w:val="0"/>
                <w:sz w:val="24"/>
              </w:rPr>
              <w:t>管控单元，项目所在区域不涉及自然保护区、饮用水水源保护区等生态保护目标。不涉及生态红线区域，符合吉林省生态保护红线要求。</w:t>
            </w:r>
          </w:p>
          <w:p>
            <w:pPr>
              <w:autoSpaceDE w:val="0"/>
              <w:autoSpaceDN w:val="0"/>
              <w:adjustRightInd w:val="0"/>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（3）资源利用上线</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项目建设施工及运营过程中消耗一定量的电源、水源等资源，项目资源消耗相对项目所在区域地表水资源、地下水资源、环境空气容量等资源，利用总量很小，区域资源利用维持在现有水平内，符合资源利用上限要求。</w:t>
            </w:r>
          </w:p>
          <w:p>
            <w:pPr>
              <w:autoSpaceDE w:val="0"/>
              <w:autoSpaceDN w:val="0"/>
              <w:adjustRightInd w:val="0"/>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（4）环境质量底线</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通过对区域环境现状调查和补充监测结果进行分析，本项目评价范围内环境空气质量，水环境质量能满足相应环境质量标准要求。本项目废气经处理后可达标排放；生活污水会用作农肥，生产废水循环使用；各项固废均得到合理有效处置。通过环境影响分析，本项目建设不会改变当地环境功能区划，本项目不会突破环境质量底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ascii="宋体" w:hAnsi="宋体" w:cs="宋体"/>
                <w:kern w:val="0"/>
                <w:sz w:val="24"/>
              </w:rPr>
            </w:pPr>
            <w:r>
              <w:rPr>
                <w:rFonts w:hint="eastAsia" w:ascii="宋体" w:hAnsi="宋体" w:cs="宋体"/>
                <w:kern w:val="0"/>
                <w:sz w:val="24"/>
              </w:rPr>
              <w:t>综上所述，本项目符合吉林省“三线一单”生态环境管理要求，符合白城市“三线一单”生态环境管控要求。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ascii="宋体" w:hAnsi="宋体" w:cs="宋体"/>
                <w:b/>
                <w:kern w:val="0"/>
                <w:sz w:val="24"/>
              </w:rPr>
            </w:pPr>
            <w:r>
              <w:rPr>
                <w:rFonts w:hint="eastAsia" w:ascii="宋体" w:hAnsi="宋体" w:cs="宋体"/>
                <w:b/>
                <w:kern w:val="0"/>
                <w:sz w:val="24"/>
              </w:rPr>
              <w:t>2、产业政策符合性分析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ascii="宋体" w:hAnsi="宋体" w:cs="宋体"/>
                <w:kern w:val="0"/>
                <w:sz w:val="24"/>
              </w:rPr>
            </w:pPr>
            <w:r>
              <w:rPr>
                <w:rFonts w:hint="eastAsia" w:ascii="宋体" w:hAnsi="宋体" w:cs="宋体"/>
                <w:kern w:val="0"/>
                <w:sz w:val="24"/>
              </w:rPr>
              <w:t>①本项目为报废农机拆解项目，根据《产业结构调整指导目录（2019年本）》（修正版），本项目属于其中鼓励类中“</w:t>
            </w:r>
            <w:r>
              <w:rPr>
                <w:rFonts w:hint="eastAsia" w:ascii="宋体" w:hAnsi="宋体" w:cs="宋体"/>
                <w:kern w:val="0"/>
                <w:sz w:val="24"/>
                <w:lang w:eastAsia="zh-CN"/>
              </w:rPr>
              <w:t>四十三</w:t>
            </w:r>
            <w:r>
              <w:rPr>
                <w:rFonts w:hint="eastAsia" w:ascii="宋体" w:hAnsi="宋体" w:cs="宋体"/>
                <w:kern w:val="0"/>
                <w:sz w:val="24"/>
              </w:rPr>
              <w:t>、环境保护与资源节约综合利用”中“5、区域性废旧汽车、废旧电器电子产品、废旧船舶、废钢铁、废旧木材等资源循环利用基地建设”，为鼓励类项目，因此，本项目符合国家产业政策要求。</w:t>
            </w:r>
          </w:p>
          <w:p>
            <w:pPr>
              <w:keepNext w:val="0"/>
              <w:keepLines w:val="0"/>
              <w:pageBreakBefore w:val="0"/>
              <w:widowControl w:val="0"/>
              <w:kinsoku/>
              <w:wordWrap/>
              <w:overflowPunct/>
              <w:topLinePunct w:val="0"/>
              <w:bidi w:val="0"/>
              <w:snapToGrid w:val="0"/>
              <w:spacing w:line="480" w:lineRule="exact"/>
              <w:ind w:firstLine="480"/>
              <w:textAlignment w:val="auto"/>
              <w:rPr>
                <w:sz w:val="24"/>
              </w:rPr>
            </w:pPr>
            <w:r>
              <w:rPr>
                <w:rFonts w:hint="eastAsia" w:ascii="宋体" w:hAnsi="宋体"/>
                <w:sz w:val="24"/>
              </w:rPr>
              <w:t>②本</w:t>
            </w:r>
            <w:r>
              <w:rPr>
                <w:sz w:val="24"/>
              </w:rPr>
              <w:t>项目废机油存储项目属于属于《产业结构调整指导目录（2019年本）》中“鼓励类”第四十三、环境保护与资源节约综合利用，</w:t>
            </w:r>
            <w:r>
              <w:rPr>
                <w:rFonts w:hint="default"/>
                <w:sz w:val="24"/>
                <w:lang w:val="en-US" w:eastAsia="zh-CN"/>
              </w:rPr>
              <w:t>27、废旧木材、废旧电器电子产品、废印刷电路板、废旧电池、废旧船舶、废旧农机、废塑料、废旧</w:t>
            </w:r>
            <w:r>
              <w:rPr>
                <w:rFonts w:hint="default" w:asciiTheme="minorAscii" w:hAnsiTheme="minorAscii" w:eastAsiaTheme="minorEastAsia"/>
                <w:spacing w:val="-6"/>
                <w:sz w:val="24"/>
                <w:lang w:val="en-US" w:eastAsia="zh-CN"/>
              </w:rPr>
              <w:t>纺织品及纺织废料和边角料、废（碎）玻璃、废橡胶、废弃油脂等废旧物资等资</w:t>
            </w:r>
            <w:r>
              <w:rPr>
                <w:rFonts w:hint="default"/>
                <w:sz w:val="24"/>
                <w:lang w:val="en-US" w:eastAsia="zh-CN"/>
              </w:rPr>
              <w:t>源循环再利用技术、设备开发及应用</w:t>
            </w:r>
            <w:r>
              <w:rPr>
                <w:sz w:val="24"/>
              </w:rPr>
              <w:t>。因此，本项目符合国家相关的产业政策。</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ascii="宋体" w:hAnsi="宋体" w:cs="宋体"/>
                <w:b/>
                <w:kern w:val="0"/>
                <w:sz w:val="24"/>
                <w:u w:val="single"/>
              </w:rPr>
            </w:pPr>
            <w:r>
              <w:rPr>
                <w:rFonts w:hint="eastAsia" w:ascii="宋体" w:hAnsi="宋体" w:cs="宋体"/>
                <w:b/>
                <w:kern w:val="0"/>
                <w:sz w:val="24"/>
                <w:u w:val="single"/>
              </w:rPr>
              <w:t>3、项目选址合理性分析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ascii="宋体" w:hAnsi="宋体" w:cs="宋体"/>
                <w:kern w:val="0"/>
                <w:sz w:val="24"/>
                <w:u w:val="single"/>
              </w:rPr>
            </w:pPr>
            <w:r>
              <w:rPr>
                <w:rFonts w:hint="eastAsia" w:ascii="宋体" w:hAnsi="宋体" w:cs="宋体"/>
                <w:kern w:val="0"/>
                <w:sz w:val="24"/>
                <w:u w:val="single"/>
              </w:rPr>
              <w:t>本项目位于</w:t>
            </w:r>
            <w:r>
              <w:rPr>
                <w:rFonts w:ascii="Times New Roman" w:hAnsi="Times New Roman" w:eastAsia="宋体" w:cs="Times New Roman"/>
                <w:sz w:val="24"/>
                <w:u w:val="single"/>
              </w:rPr>
              <w:t>白城</w:t>
            </w:r>
            <w:r>
              <w:rPr>
                <w:rFonts w:hint="eastAsia" w:ascii="Times New Roman" w:hAnsi="Times New Roman" w:eastAsia="宋体" w:cs="Times New Roman"/>
                <w:sz w:val="24"/>
                <w:u w:val="single"/>
              </w:rPr>
              <w:t>工业园区东海路北99号</w:t>
            </w:r>
            <w:r>
              <w:rPr>
                <w:rFonts w:hint="eastAsia" w:ascii="宋体" w:hAnsi="宋体" w:cs="宋体"/>
                <w:kern w:val="0"/>
                <w:sz w:val="24"/>
                <w:u w:val="single"/>
              </w:rPr>
              <w:t>，项目占地为工业用地。</w:t>
            </w:r>
            <w:r>
              <w:rPr>
                <w:rFonts w:hint="eastAsia"/>
                <w:sz w:val="24"/>
                <w:u w:val="single"/>
              </w:rPr>
              <w:t>本项目周边</w:t>
            </w:r>
            <w:r>
              <w:rPr>
                <w:rFonts w:hint="eastAsia" w:ascii="宋体" w:hAnsi="宋体"/>
                <w:sz w:val="24"/>
                <w:u w:val="single"/>
              </w:rPr>
              <w:t>不涉及自然保护区、风景名胜区、文化区和自然遗产地等特殊保护区，不涉及珍稀濒危野生动植物天然集中分布区、</w:t>
            </w:r>
            <w:r>
              <w:rPr>
                <w:rFonts w:hint="eastAsia"/>
                <w:bCs/>
                <w:sz w:val="24"/>
                <w:u w:val="single"/>
              </w:rPr>
              <w:t>重要水生生物的自然产卵场及索饵场、越冬场和洄游通道等生态敏感区，不涉及文物保护单位、集中式饮用水水源地等敏感区域</w:t>
            </w:r>
            <w:r>
              <w:rPr>
                <w:rFonts w:hint="eastAsia"/>
                <w:sz w:val="24"/>
                <w:u w:val="single"/>
              </w:rPr>
              <w:t>。</w:t>
            </w:r>
            <w:r>
              <w:rPr>
                <w:rFonts w:hint="eastAsia"/>
                <w:sz w:val="24"/>
                <w:u w:val="single"/>
                <w:lang w:eastAsia="zh-CN"/>
              </w:rPr>
              <w:t>项目选址在工业园区内，符合园区规划。</w:t>
            </w:r>
            <w:r>
              <w:rPr>
                <w:rFonts w:hint="eastAsia"/>
                <w:sz w:val="24"/>
                <w:u w:val="single"/>
              </w:rPr>
              <w:t>项目在采取有效的</w:t>
            </w:r>
            <w:r>
              <w:rPr>
                <w:rFonts w:hint="default" w:asciiTheme="minorAscii" w:hAnsiTheme="minorAscii" w:eastAsiaTheme="minorEastAsia"/>
                <w:spacing w:val="-6"/>
                <w:sz w:val="24"/>
                <w:u w:val="single"/>
              </w:rPr>
              <w:t>污染防治措施的前提下，项目产生的废气和噪声均能达标排放，废水、固体废</w:t>
            </w:r>
            <w:r>
              <w:rPr>
                <w:rFonts w:hint="eastAsia"/>
                <w:sz w:val="24"/>
                <w:u w:val="single"/>
              </w:rPr>
              <w:t>物</w:t>
            </w:r>
            <w:r>
              <w:rPr>
                <w:rFonts w:hint="default" w:asciiTheme="minorAscii" w:hAnsiTheme="minorAscii" w:eastAsiaTheme="minorEastAsia"/>
                <w:spacing w:val="-6"/>
                <w:sz w:val="24"/>
                <w:u w:val="single"/>
              </w:rPr>
              <w:t>和危险废物均得到了合理有效的处理处置，项目对周围环境和敏感点影响较小</w:t>
            </w:r>
            <w:r>
              <w:rPr>
                <w:rFonts w:hint="eastAsia" w:ascii="宋体" w:hAnsi="宋体" w:cs="宋体"/>
                <w:kern w:val="0"/>
                <w:sz w:val="24"/>
                <w:u w:val="single"/>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ascii="宋体" w:hAnsi="宋体" w:cs="宋体"/>
                <w:kern w:val="0"/>
                <w:sz w:val="24"/>
                <w:u w:val="single"/>
              </w:rPr>
            </w:pPr>
            <w:r>
              <w:rPr>
                <w:rFonts w:hint="eastAsia" w:ascii="宋体" w:hAnsi="宋体" w:cs="宋体"/>
                <w:kern w:val="0"/>
                <w:sz w:val="24"/>
                <w:u w:val="single"/>
              </w:rPr>
              <w:t>经上述分析，本项目选址较为合理。</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ascii="宋体" w:hAnsi="宋体" w:cs="宋体"/>
                <w:b/>
                <w:kern w:val="0"/>
                <w:sz w:val="24"/>
              </w:rPr>
            </w:pPr>
            <w:r>
              <w:rPr>
                <w:rFonts w:hint="eastAsia" w:ascii="宋体" w:hAnsi="宋体" w:cs="宋体"/>
                <w:b/>
                <w:kern w:val="0"/>
                <w:sz w:val="24"/>
              </w:rPr>
              <w:t>4、相关技术规范符合性分析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ascii="宋体" w:hAnsi="宋体" w:cs="宋体"/>
                <w:kern w:val="0"/>
                <w:sz w:val="24"/>
              </w:rPr>
            </w:pPr>
            <w:r>
              <w:rPr>
                <w:rFonts w:hint="eastAsia" w:ascii="宋体" w:hAnsi="宋体" w:cs="宋体"/>
                <w:kern w:val="0"/>
                <w:sz w:val="24"/>
              </w:rPr>
              <w:t>本项目为报废农业机械回收拆解项目，与本项目有关的行业技术规范及环保技术规范主要有中华人民共和国农业行业标准《报废农业机械回收拆解技术规范》(NY/T2900-2016）等。</w:t>
            </w:r>
          </w:p>
          <w:p>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本项目与《报废农业机械回收拆解技术规范》（NY/T2900-2016）符合性分析详见下表：</w:t>
            </w:r>
          </w:p>
          <w:p>
            <w:pPr>
              <w:pStyle w:val="2"/>
            </w:pPr>
          </w:p>
          <w:p>
            <w:pPr>
              <w:autoSpaceDE w:val="0"/>
              <w:autoSpaceDN w:val="0"/>
              <w:adjustRightInd w:val="0"/>
              <w:snapToGrid w:val="0"/>
              <w:spacing w:line="360" w:lineRule="auto"/>
              <w:jc w:val="center"/>
              <w:rPr>
                <w:rFonts w:ascii="宋体" w:hAnsi="宋体"/>
                <w:b/>
                <w:bCs/>
                <w:sz w:val="24"/>
                <w:szCs w:val="24"/>
                <w:u w:val="single"/>
              </w:rPr>
            </w:pPr>
            <w:r>
              <w:rPr>
                <w:rFonts w:hint="eastAsia" w:ascii="宋体" w:hAnsi="宋体"/>
                <w:b/>
                <w:bCs/>
                <w:sz w:val="24"/>
                <w:szCs w:val="24"/>
                <w:u w:val="single"/>
              </w:rPr>
              <w:t>表4  本项目与《报废农业机械回收拆解技术规范》符合性分析</w:t>
            </w:r>
          </w:p>
          <w:tbl>
            <w:tblPr>
              <w:tblStyle w:val="25"/>
              <w:tblW w:w="819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37"/>
              <w:gridCol w:w="3541"/>
              <w:gridCol w:w="2760"/>
              <w:gridCol w:w="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
                      <w:u w:val="single"/>
                    </w:rPr>
                  </w:pPr>
                  <w:r>
                    <w:rPr>
                      <w:rFonts w:hint="eastAsia" w:ascii="宋体" w:hAnsi="宋体"/>
                      <w:b/>
                      <w:u w:val="single"/>
                    </w:rPr>
                    <w:t>序号</w:t>
                  </w:r>
                </w:p>
              </w:tc>
              <w:tc>
                <w:tcPr>
                  <w:tcW w:w="537" w:type="dxa"/>
                  <w:shd w:val="clear" w:color="auto" w:fill="auto"/>
                  <w:noWrap/>
                  <w:vAlign w:val="center"/>
                </w:tcPr>
                <w:p>
                  <w:pPr>
                    <w:autoSpaceDE w:val="0"/>
                    <w:autoSpaceDN w:val="0"/>
                    <w:adjustRightInd w:val="0"/>
                    <w:snapToGrid w:val="0"/>
                    <w:jc w:val="center"/>
                    <w:rPr>
                      <w:rFonts w:ascii="宋体" w:hAnsi="宋体"/>
                      <w:b/>
                      <w:u w:val="single"/>
                    </w:rPr>
                  </w:pPr>
                  <w:r>
                    <w:rPr>
                      <w:rFonts w:hint="eastAsia" w:ascii="宋体" w:hAnsi="宋体"/>
                      <w:b/>
                      <w:u w:val="single"/>
                    </w:rPr>
                    <w:t>类别</w:t>
                  </w:r>
                </w:p>
              </w:tc>
              <w:tc>
                <w:tcPr>
                  <w:tcW w:w="3541" w:type="dxa"/>
                  <w:shd w:val="clear" w:color="auto" w:fill="auto"/>
                  <w:noWrap/>
                  <w:vAlign w:val="center"/>
                </w:tcPr>
                <w:p>
                  <w:pPr>
                    <w:autoSpaceDE w:val="0"/>
                    <w:autoSpaceDN w:val="0"/>
                    <w:adjustRightInd w:val="0"/>
                    <w:snapToGrid w:val="0"/>
                    <w:jc w:val="center"/>
                    <w:rPr>
                      <w:rFonts w:ascii="宋体" w:hAnsi="宋体"/>
                      <w:b/>
                      <w:u w:val="single"/>
                    </w:rPr>
                  </w:pPr>
                  <w:r>
                    <w:rPr>
                      <w:rFonts w:hint="eastAsia" w:ascii="宋体" w:hAnsi="宋体"/>
                      <w:b/>
                      <w:u w:val="single"/>
                    </w:rPr>
                    <w:t>规范要求</w:t>
                  </w:r>
                </w:p>
              </w:tc>
              <w:tc>
                <w:tcPr>
                  <w:tcW w:w="2760" w:type="dxa"/>
                  <w:shd w:val="clear" w:color="auto" w:fill="auto"/>
                  <w:noWrap/>
                  <w:vAlign w:val="center"/>
                </w:tcPr>
                <w:p>
                  <w:pPr>
                    <w:autoSpaceDE w:val="0"/>
                    <w:autoSpaceDN w:val="0"/>
                    <w:adjustRightInd w:val="0"/>
                    <w:snapToGrid w:val="0"/>
                    <w:jc w:val="center"/>
                    <w:rPr>
                      <w:rFonts w:ascii="宋体" w:hAnsi="宋体"/>
                      <w:b/>
                      <w:u w:val="single"/>
                    </w:rPr>
                  </w:pPr>
                  <w:r>
                    <w:rPr>
                      <w:rFonts w:hint="eastAsia" w:ascii="宋体" w:hAnsi="宋体"/>
                      <w:b/>
                      <w:u w:val="single"/>
                    </w:rPr>
                    <w:t>项目拟建情况</w:t>
                  </w:r>
                </w:p>
              </w:tc>
              <w:tc>
                <w:tcPr>
                  <w:tcW w:w="906" w:type="dxa"/>
                  <w:noWrap/>
                  <w:vAlign w:val="center"/>
                </w:tcPr>
                <w:p>
                  <w:pPr>
                    <w:autoSpaceDE w:val="0"/>
                    <w:autoSpaceDN w:val="0"/>
                    <w:adjustRightInd w:val="0"/>
                    <w:snapToGrid w:val="0"/>
                    <w:jc w:val="center"/>
                    <w:rPr>
                      <w:rFonts w:ascii="宋体" w:hAnsi="宋体"/>
                      <w:b/>
                      <w:spacing w:val="-20"/>
                      <w:u w:val="single"/>
                    </w:rPr>
                  </w:pPr>
                  <w:r>
                    <w:rPr>
                      <w:rFonts w:hint="eastAsia" w:ascii="宋体" w:hAnsi="宋体"/>
                      <w:b/>
                      <w:spacing w:val="-20"/>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w:t>
                  </w:r>
                </w:p>
              </w:tc>
              <w:tc>
                <w:tcPr>
                  <w:tcW w:w="537" w:type="dxa"/>
                  <w:vMerge w:val="restart"/>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基本要求</w:t>
                  </w: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报废农业机械回收拆解应严格遵循安全环保和循环利用的原则进行。回收拆解报废农业机械应按检查和登记→拆解前存储→拆解-拆解后存储和处置的流程作业。</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本项目报废农机回收和拆解拟建设流程严格按照检查和登记→拆解前存储→拆解-拆解后存储和处置的流程作业进行。</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2</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报废农业机械拆解操作人员应能达到规范拆解、环保作业、安全操作(含危险物质收集存储、运输)等相应要求。国家相关法规有持证上岗规定的，相关岗位的操作人员应遵守规定持证上岗。</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本项目拟招聘的工作人员均经过岗前培训，满足规范拆解环保等方面的工作需求。</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3</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报废农业机械拆解作业场地(包括拆解和存储场地)面积不低于300m</w:t>
                  </w:r>
                  <w:r>
                    <w:rPr>
                      <w:rFonts w:hint="eastAsia" w:ascii="宋体" w:hAnsi="宋体"/>
                      <w:bCs/>
                      <w:u w:val="single"/>
                      <w:vertAlign w:val="superscript"/>
                    </w:rPr>
                    <w:t>2</w:t>
                  </w:r>
                  <w:r>
                    <w:rPr>
                      <w:rFonts w:hint="eastAsia" w:ascii="宋体" w:hAnsi="宋体"/>
                      <w:bCs/>
                      <w:u w:val="single"/>
                    </w:rPr>
                    <w:t>。拆解车间应为封闭或半封闭车间，通风、光线良好，地面硬化且防渗漏，安全防范设施齐全；存储场地(包括临时存储)的地面要硬化并防渗漏。</w:t>
                  </w:r>
                </w:p>
              </w:tc>
              <w:tc>
                <w:tcPr>
                  <w:tcW w:w="2760" w:type="dxa"/>
                  <w:shd w:val="clear" w:color="auto" w:fill="auto"/>
                  <w:noWrap/>
                  <w:vAlign w:val="center"/>
                </w:tcPr>
                <w:p>
                  <w:pPr>
                    <w:autoSpaceDE w:val="0"/>
                    <w:autoSpaceDN w:val="0"/>
                    <w:adjustRightInd w:val="0"/>
                    <w:snapToGrid w:val="0"/>
                    <w:jc w:val="left"/>
                    <w:rPr>
                      <w:rFonts w:ascii="宋体" w:hAnsi="宋体"/>
                      <w:bCs/>
                      <w:color w:val="7030A0"/>
                      <w:u w:val="single"/>
                    </w:rPr>
                  </w:pPr>
                  <w:r>
                    <w:rPr>
                      <w:rFonts w:hint="eastAsia" w:ascii="宋体" w:hAnsi="宋体"/>
                      <w:bCs/>
                      <w:u w:val="single"/>
                    </w:rPr>
                    <w:t>本项目总占地面积为10114.9m</w:t>
                  </w:r>
                  <w:r>
                    <w:rPr>
                      <w:rFonts w:hint="eastAsia" w:ascii="宋体" w:hAnsi="宋体"/>
                      <w:bCs/>
                      <w:u w:val="single"/>
                      <w:vertAlign w:val="superscript"/>
                    </w:rPr>
                    <w:t>2</w:t>
                  </w:r>
                  <w:r>
                    <w:rPr>
                      <w:rFonts w:hint="eastAsia" w:ascii="宋体" w:hAnsi="宋体"/>
                      <w:bCs/>
                      <w:u w:val="single"/>
                    </w:rPr>
                    <w:t>，拆解车间（拆解场地）建筑面积675m</w:t>
                  </w:r>
                  <w:r>
                    <w:rPr>
                      <w:rFonts w:hint="eastAsia" w:ascii="宋体" w:hAnsi="宋体"/>
                      <w:bCs/>
                      <w:u w:val="single"/>
                      <w:vertAlign w:val="superscript"/>
                    </w:rPr>
                    <w:t>2</w:t>
                  </w:r>
                  <w:r>
                    <w:rPr>
                      <w:rFonts w:hint="eastAsia" w:ascii="宋体" w:hAnsi="宋体"/>
                      <w:bCs/>
                      <w:u w:val="single"/>
                    </w:rPr>
                    <w:t>、停车场（存储场地）</w:t>
                  </w:r>
                  <w:r>
                    <w:rPr>
                      <w:rFonts w:hint="eastAsia" w:ascii="宋体" w:hAnsi="宋体"/>
                      <w:bCs/>
                      <w:u w:val="single"/>
                      <w:lang w:val="en-US" w:eastAsia="zh-CN"/>
                    </w:rPr>
                    <w:t>3</w:t>
                  </w:r>
                  <w:r>
                    <w:rPr>
                      <w:rFonts w:hint="eastAsia" w:ascii="宋体" w:hAnsi="宋体"/>
                      <w:bCs/>
                      <w:u w:val="single"/>
                    </w:rPr>
                    <w:t>000m</w:t>
                  </w:r>
                  <w:r>
                    <w:rPr>
                      <w:rFonts w:hint="eastAsia" w:ascii="宋体" w:hAnsi="宋体"/>
                      <w:bCs/>
                      <w:u w:val="single"/>
                      <w:vertAlign w:val="superscript"/>
                    </w:rPr>
                    <w:t>2</w:t>
                  </w:r>
                  <w:r>
                    <w:rPr>
                      <w:rFonts w:hint="eastAsia" w:ascii="宋体" w:hAnsi="宋体"/>
                      <w:bCs/>
                      <w:u w:val="single"/>
                    </w:rPr>
                    <w:t>，</w:t>
                  </w:r>
                  <w:r>
                    <w:rPr>
                      <w:rFonts w:hint="eastAsia" w:ascii="宋体" w:hAnsi="宋体"/>
                      <w:bCs/>
                      <w:u w:val="single"/>
                      <w:lang w:eastAsia="zh-CN"/>
                    </w:rPr>
                    <w:t>库房</w:t>
                  </w:r>
                  <w:r>
                    <w:rPr>
                      <w:rFonts w:hint="eastAsia" w:ascii="宋体" w:hAnsi="宋体"/>
                      <w:bCs/>
                      <w:u w:val="single"/>
                      <w:lang w:val="en-US" w:eastAsia="zh-CN"/>
                    </w:rPr>
                    <w:t>2个共15</w:t>
                  </w:r>
                  <w:r>
                    <w:rPr>
                      <w:rFonts w:hint="eastAsia" w:ascii="宋体" w:hAnsi="宋体"/>
                      <w:bCs/>
                      <w:u w:val="single"/>
                    </w:rPr>
                    <w:t>50m</w:t>
                  </w:r>
                  <w:r>
                    <w:rPr>
                      <w:rFonts w:hint="eastAsia" w:ascii="宋体" w:hAnsi="宋体"/>
                      <w:bCs/>
                      <w:u w:val="single"/>
                      <w:vertAlign w:val="superscript"/>
                    </w:rPr>
                    <w:t>2</w:t>
                  </w:r>
                  <w:r>
                    <w:rPr>
                      <w:rFonts w:hint="eastAsia" w:ascii="宋体" w:hAnsi="宋体"/>
                      <w:bCs/>
                      <w:u w:val="single"/>
                    </w:rPr>
                    <w:t>，危险废物暂存间260m</w:t>
                  </w:r>
                  <w:r>
                    <w:rPr>
                      <w:rFonts w:hint="eastAsia" w:ascii="宋体" w:hAnsi="宋体"/>
                      <w:bCs/>
                      <w:u w:val="single"/>
                      <w:vertAlign w:val="superscript"/>
                    </w:rPr>
                    <w:t>2</w:t>
                  </w:r>
                  <w:r>
                    <w:rPr>
                      <w:rFonts w:hint="eastAsia" w:ascii="宋体" w:hAnsi="宋体"/>
                      <w:bCs/>
                      <w:u w:val="single"/>
                    </w:rPr>
                    <w:t>。拆解场地和拆解</w:t>
                  </w:r>
                  <w:r>
                    <w:rPr>
                      <w:rFonts w:hint="eastAsia" w:ascii="宋体" w:hAnsi="宋体" w:eastAsiaTheme="minorEastAsia"/>
                      <w:bCs/>
                      <w:spacing w:val="-6"/>
                      <w:sz w:val="21"/>
                      <w:u w:val="single"/>
                    </w:rPr>
                    <w:t>物贮存场地均为封闭式厂</w:t>
                  </w:r>
                  <w:r>
                    <w:rPr>
                      <w:rFonts w:hint="eastAsia" w:ascii="宋体" w:hAnsi="宋体"/>
                      <w:bCs/>
                      <w:u w:val="single"/>
                    </w:rPr>
                    <w:t>房，拆解和贮存场地均采取硬化防渗处理，并配备消防器材等安全防范措施。</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4</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报废农业机械拆解企业应具备必要的设备，包括但不限于农业机械称重设备、起重运输设备、剪断设备、切割设备、专业容器等,在排空易燃易爆及有毒有害液体、气体物品时，应使用专用设备处理且工作环境安全可靠。</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本项目拟购进生产设备包括铲车、等离子切割设备，气泵、剪切设备和电动拆卸工具以及危险废物存储专用容器等。</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5</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应按照农业机械生产企业所提供的拆解信息或拆解手册进行合理拆解；没有拆解手册的，可参照同类农业机械规定拆解,尽可能保证零部再利用性及材料可回收性。</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本项目拟招聘工作人员均经过岗前培训。</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6</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应解体销毁的发动机、变速箱、转向器、前后桥、机架和工作装置等主要总成，应确保拆解后不可修复。</w:t>
                  </w:r>
                </w:p>
                <w:p>
                  <w:pPr>
                    <w:autoSpaceDE w:val="0"/>
                    <w:autoSpaceDN w:val="0"/>
                    <w:adjustRightInd w:val="0"/>
                    <w:snapToGrid w:val="0"/>
                    <w:jc w:val="left"/>
                    <w:rPr>
                      <w:rFonts w:ascii="宋体" w:hAnsi="宋体"/>
                      <w:bCs/>
                      <w:u w:val="single"/>
                    </w:rPr>
                  </w:pPr>
                  <w:r>
                    <w:rPr>
                      <w:rFonts w:hint="eastAsia" w:ascii="宋体" w:hAnsi="宋体"/>
                      <w:bCs/>
                      <w:u w:val="single"/>
                      <w:lang w:eastAsia="zh-CN"/>
                    </w:rPr>
                    <w:t>在</w:t>
                  </w:r>
                  <w:r>
                    <w:rPr>
                      <w:rFonts w:hint="eastAsia" w:ascii="宋体" w:hAnsi="宋体"/>
                      <w:bCs/>
                      <w:u w:val="single"/>
                    </w:rPr>
                    <w:t>报废农业机械拆解及主要总成解体销毁过程中，每个环节保留10s以上的视频资料或解体销毁前、中、后各照片1张</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针对上述总成，本项目拟采取毁形、压块打包的方式进行处理，并录制总成毁形过程视频，拍摄解体视频、照片等影像资料。</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7</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其他零部件和材料都应以恰当的方式拆除和隔离。拆解时应避免损伤或污染再利用零件和可回收利用材料。</w:t>
                  </w:r>
                </w:p>
              </w:tc>
              <w:tc>
                <w:tcPr>
                  <w:tcW w:w="2760" w:type="dxa"/>
                  <w:shd w:val="clear" w:color="auto" w:fill="auto"/>
                  <w:noWrap/>
                  <w:vAlign w:val="center"/>
                </w:tcPr>
                <w:p>
                  <w:pPr>
                    <w:autoSpaceDE w:val="0"/>
                    <w:autoSpaceDN w:val="0"/>
                    <w:adjustRightInd w:val="0"/>
                    <w:snapToGrid w:val="0"/>
                    <w:jc w:val="left"/>
                    <w:rPr>
                      <w:rFonts w:hint="eastAsia" w:ascii="宋体" w:hAnsi="宋体" w:eastAsiaTheme="minorEastAsia"/>
                      <w:bCs/>
                      <w:u w:val="single"/>
                      <w:lang w:eastAsia="zh-CN"/>
                    </w:rPr>
                  </w:pPr>
                  <w:r>
                    <w:rPr>
                      <w:rFonts w:hint="eastAsia" w:ascii="宋体" w:hAnsi="宋体"/>
                      <w:bCs/>
                      <w:u w:val="single"/>
                    </w:rPr>
                    <w:t>本项目拆解后零部件分类保存</w:t>
                  </w:r>
                  <w:r>
                    <w:rPr>
                      <w:rFonts w:hint="eastAsia" w:ascii="宋体" w:hAnsi="宋体"/>
                      <w:bCs/>
                      <w:u w:val="single"/>
                      <w:lang w:eastAsia="zh-CN"/>
                    </w:rPr>
                    <w:t>。</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8</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应建立报废农业机械回收拆解档案和数据库，对回收报废的农业机械逐台登记、记录回收、拆解、废弃物处理及拆解后零部件、材料和废弃物的流向等。档案和数据库的保存期限应不少于3年</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企业拟制定完善的登记、记录、档案和数据库的保存制度。</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9</w:t>
                  </w:r>
                </w:p>
              </w:tc>
              <w:tc>
                <w:tcPr>
                  <w:tcW w:w="537" w:type="dxa"/>
                  <w:vMerge w:val="restart"/>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技术要求</w:t>
                  </w: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检查报废农业机械发动机散热器、变速器、差速器、油箱、液罐等总成部件的密封情况。对出现泄漏的地方，应采取适当的方式收集泄漏的液体或封住泄漏处，防止废液渗入地下</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本项目拟设置专门危险废物暂存间，分类设置专用防渗密闭容器进行油液储存，并硬化地面，做防渗处理。</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10</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对报废农业机械主要信息进行登记并拍照并在机身醒目位置贴上唯一性标识。主要信息包括:机主(单位或个人)名称证件号码、牌照号码、品牌型号、机身颜色、车架号发动机号、出厂年份、接收或收购日期等。</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企业拟设专职人员对进厂农机进行标记和记录。</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476" w:hRule="atLeast"/>
              </w:trPr>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11</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报废农业机械存储应与其他废弃物存储分开，应避免侧放、倒放。如需要叠放，应做到堆放合理，方便装卸。保障人身财产安全。回收报废农业机械后，应在6个月之内将其拆解完毕。</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本项目拟建厂内设有专门停车场地、拆解场地和储存场地，可以满足分类存放；不进行农机叠放。进厂报废农机可实现6个月内拆解完毕</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19" w:hRule="atLeast"/>
              </w:trPr>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12</w:t>
                  </w:r>
                </w:p>
              </w:tc>
              <w:tc>
                <w:tcPr>
                  <w:tcW w:w="537" w:type="dxa"/>
                  <w:vMerge w:val="restart"/>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存储与处置</w:t>
                  </w: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废液应使用专用密闭容器存储，防漏、防洒溅、防挥发，并交给合法的废液回收处理企业。</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本项目拟建设危险废物暂存间，并购置废液专用密封容器进行分类存储。</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13</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拆解后的可再利用零部件存储前，应做清洗和防锈等处理后在室内存储，并标明回用件</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w:t>
                  </w:r>
                  <w:r>
                    <w:rPr>
                      <w:rFonts w:hint="eastAsia" w:ascii="宋体" w:hAnsi="宋体"/>
                      <w:bCs/>
                      <w:u w:val="single"/>
                      <w:lang w:eastAsia="zh-CN"/>
                    </w:rPr>
                    <w:t>不清洗</w:t>
                  </w:r>
                  <w:r>
                    <w:rPr>
                      <w:rFonts w:hint="eastAsia" w:ascii="宋体" w:hAnsi="宋体"/>
                      <w:bCs/>
                      <w:u w:val="single"/>
                    </w:rPr>
                    <w:t>零部件。</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14</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拆解后的所有的零部件、材料、废物，应进行分类存储和标识，废物不得焚烧、丢弃。</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本项目所有材料、废物，拟采用分类存储和进行标识，无焚烧、丢弃等。</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15</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拆解后一般固体废物的存储和处置应按照GB18599的规定执行。</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本项目一般固体废物的存储处置拟按照GB18599规定执行</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79" w:hRule="atLeast"/>
              </w:trPr>
              <w:tc>
                <w:tcPr>
                  <w:tcW w:w="454" w:type="dxa"/>
                  <w:shd w:val="clear" w:color="auto" w:fill="auto"/>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16</w:t>
                  </w:r>
                </w:p>
              </w:tc>
              <w:tc>
                <w:tcPr>
                  <w:tcW w:w="537" w:type="dxa"/>
                  <w:vMerge w:val="continue"/>
                  <w:shd w:val="clear" w:color="auto" w:fill="auto"/>
                  <w:noWrap/>
                  <w:vAlign w:val="center"/>
                </w:tcPr>
                <w:p>
                  <w:pPr>
                    <w:autoSpaceDE w:val="0"/>
                    <w:autoSpaceDN w:val="0"/>
                    <w:adjustRightInd w:val="0"/>
                    <w:snapToGrid w:val="0"/>
                    <w:jc w:val="center"/>
                    <w:rPr>
                      <w:rFonts w:ascii="宋体" w:hAnsi="宋体"/>
                      <w:bCs/>
                      <w:u w:val="single"/>
                    </w:rPr>
                  </w:pPr>
                </w:p>
              </w:tc>
              <w:tc>
                <w:tcPr>
                  <w:tcW w:w="3541"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拆解后有毒有害的危险废物的存储和处置应按照GB18597的规定执行.危险废物应交由具有相应资质的单位进行处置。</w:t>
                  </w:r>
                </w:p>
              </w:tc>
              <w:tc>
                <w:tcPr>
                  <w:tcW w:w="2760" w:type="dxa"/>
                  <w:shd w:val="clear" w:color="auto" w:fill="auto"/>
                  <w:noWrap/>
                  <w:vAlign w:val="center"/>
                </w:tcPr>
                <w:p>
                  <w:pPr>
                    <w:autoSpaceDE w:val="0"/>
                    <w:autoSpaceDN w:val="0"/>
                    <w:adjustRightInd w:val="0"/>
                    <w:snapToGrid w:val="0"/>
                    <w:jc w:val="left"/>
                    <w:rPr>
                      <w:rFonts w:ascii="宋体" w:hAnsi="宋体"/>
                      <w:bCs/>
                      <w:u w:val="single"/>
                    </w:rPr>
                  </w:pPr>
                  <w:r>
                    <w:rPr>
                      <w:rFonts w:hint="eastAsia" w:ascii="宋体" w:hAnsi="宋体"/>
                      <w:bCs/>
                      <w:u w:val="single"/>
                    </w:rPr>
                    <w:t>本项目拆解后有毒有害的危险废物的存储和处置按照GB18597的规定执行，危险废物交有资质单位处理</w:t>
                  </w:r>
                </w:p>
              </w:tc>
              <w:tc>
                <w:tcPr>
                  <w:tcW w:w="906" w:type="dxa"/>
                  <w:noWrap/>
                  <w:vAlign w:val="center"/>
                </w:tcPr>
                <w:p>
                  <w:pPr>
                    <w:autoSpaceDE w:val="0"/>
                    <w:autoSpaceDN w:val="0"/>
                    <w:adjustRightInd w:val="0"/>
                    <w:snapToGrid w:val="0"/>
                    <w:jc w:val="center"/>
                    <w:rPr>
                      <w:rFonts w:ascii="宋体" w:hAnsi="宋体"/>
                      <w:bCs/>
                      <w:u w:val="single"/>
                    </w:rPr>
                  </w:pPr>
                  <w:r>
                    <w:rPr>
                      <w:rFonts w:hint="eastAsia" w:ascii="宋体" w:hAnsi="宋体"/>
                      <w:bCs/>
                      <w:u w:val="single"/>
                    </w:rPr>
                    <w:t>符合</w:t>
                  </w:r>
                </w:p>
              </w:tc>
            </w:tr>
          </w:tbl>
          <w:p>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u w:val="single"/>
              </w:rPr>
              <w:t>经过上述分析可知，本项目建设符合《报废农业机械回收拆解技术规范》（NY/T2900-2016）相关要求。</w:t>
            </w:r>
          </w:p>
          <w:p>
            <w:pPr>
              <w:snapToGrid w:val="0"/>
              <w:spacing w:line="360" w:lineRule="auto"/>
              <w:ind w:firstLine="480"/>
              <w:rPr>
                <w:rFonts w:ascii="宋体" w:hAnsi="宋体"/>
                <w:b/>
                <w:bCs/>
                <w:sz w:val="24"/>
              </w:rPr>
            </w:pPr>
            <w:r>
              <w:rPr>
                <w:rFonts w:hint="eastAsia" w:ascii="宋体" w:hAnsi="宋体"/>
                <w:b/>
                <w:sz w:val="24"/>
                <w:u w:val="none"/>
              </w:rPr>
              <w:t>5、</w:t>
            </w:r>
            <w:r>
              <w:rPr>
                <w:rFonts w:hint="eastAsia" w:ascii="宋体" w:hAnsi="宋体"/>
                <w:b/>
                <w:bCs/>
                <w:sz w:val="24"/>
              </w:rPr>
              <w:t>与危险废物贮存污染控制标准合性分析</w:t>
            </w:r>
          </w:p>
          <w:p>
            <w:pPr>
              <w:snapToGrid w:val="0"/>
              <w:spacing w:line="360" w:lineRule="auto"/>
              <w:ind w:firstLine="480"/>
              <w:rPr>
                <w:rFonts w:hint="eastAsia" w:ascii="宋体" w:hAnsi="宋体"/>
                <w:sz w:val="24"/>
              </w:rPr>
            </w:pPr>
            <w:r>
              <w:rPr>
                <w:rFonts w:hint="eastAsia" w:ascii="宋体" w:hAnsi="宋体"/>
                <w:sz w:val="24"/>
              </w:rPr>
              <w:t>本项目废机油回收存储属于《国家危险废物名录》（部令第15号）中“HW08废矿物油与含矿物油废物900-214-08车辆、轮船及其他机械维修过程中产生的废发动机油、制动器油、自动变速器油、齿轮油等废润滑油”，本次环评分别列表进行分析如下：</w:t>
            </w:r>
          </w:p>
          <w:p>
            <w:pPr>
              <w:pStyle w:val="33"/>
              <w:numPr>
                <w:ilvl w:val="0"/>
                <w:numId w:val="0"/>
              </w:numPr>
              <w:spacing w:line="360" w:lineRule="auto"/>
              <w:ind w:firstLine="482" w:firstLineChars="200"/>
              <w:jc w:val="both"/>
              <w:rPr>
                <w:sz w:val="24"/>
                <w:szCs w:val="24"/>
              </w:rPr>
            </w:pPr>
            <w:r>
              <w:rPr>
                <w:rFonts w:hint="eastAsia"/>
                <w:sz w:val="24"/>
                <w:szCs w:val="24"/>
              </w:rPr>
              <w:t>表</w:t>
            </w:r>
            <w:r>
              <w:rPr>
                <w:rFonts w:hint="eastAsia"/>
                <w:sz w:val="24"/>
                <w:szCs w:val="24"/>
                <w:lang w:val="en-US" w:eastAsia="zh-CN"/>
              </w:rPr>
              <w:t>5</w:t>
            </w:r>
            <w:r>
              <w:rPr>
                <w:rFonts w:hint="eastAsia"/>
                <w:sz w:val="24"/>
                <w:szCs w:val="24"/>
              </w:rPr>
              <w:t xml:space="preserve">  </w:t>
            </w:r>
            <w:r>
              <w:rPr>
                <w:sz w:val="24"/>
                <w:szCs w:val="24"/>
              </w:rPr>
              <w:t>本项目与《危险废物贮存污染控制标准》</w:t>
            </w:r>
            <w:r>
              <w:rPr>
                <w:rFonts w:ascii="Times New Roman" w:hAnsi="Times New Roman" w:cs="Times New Roman"/>
                <w:color w:val="auto"/>
                <w:sz w:val="24"/>
                <w:szCs w:val="24"/>
              </w:rPr>
              <w:t>（GB18597-2001）及其2013年修改单</w:t>
            </w:r>
            <w:r>
              <w:rPr>
                <w:sz w:val="24"/>
                <w:szCs w:val="24"/>
              </w:rPr>
              <w:t>符合性分析</w:t>
            </w:r>
          </w:p>
          <w:tbl>
            <w:tblPr>
              <w:tblStyle w:val="26"/>
              <w:tblW w:w="8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086"/>
              <w:gridCol w:w="284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tcBorders>
                    <w:top w:val="single" w:color="auto" w:sz="12" w:space="0"/>
                  </w:tcBorders>
                  <w:vAlign w:val="center"/>
                </w:tcPr>
                <w:p>
                  <w:pPr>
                    <w:jc w:val="center"/>
                    <w:rPr>
                      <w:rFonts w:ascii="宋体" w:hAnsi="宋体"/>
                      <w:b/>
                      <w:sz w:val="24"/>
                    </w:rPr>
                  </w:pPr>
                  <w:r>
                    <w:rPr>
                      <w:b/>
                      <w:bCs/>
                      <w:szCs w:val="21"/>
                    </w:rPr>
                    <w:t>要求项目</w:t>
                  </w:r>
                </w:p>
              </w:tc>
              <w:tc>
                <w:tcPr>
                  <w:tcW w:w="3086" w:type="dxa"/>
                  <w:tcBorders>
                    <w:top w:val="single" w:color="auto" w:sz="12" w:space="0"/>
                  </w:tcBorders>
                  <w:vAlign w:val="center"/>
                </w:tcPr>
                <w:p>
                  <w:pPr>
                    <w:jc w:val="center"/>
                    <w:rPr>
                      <w:rFonts w:ascii="宋体" w:hAnsi="宋体"/>
                      <w:b/>
                      <w:sz w:val="24"/>
                    </w:rPr>
                  </w:pPr>
                  <w:r>
                    <w:rPr>
                      <w:b/>
                      <w:bCs/>
                      <w:szCs w:val="21"/>
                    </w:rPr>
                    <w:t>规范内容</w:t>
                  </w:r>
                </w:p>
              </w:tc>
              <w:tc>
                <w:tcPr>
                  <w:tcW w:w="2843" w:type="dxa"/>
                  <w:tcBorders>
                    <w:top w:val="single" w:color="auto" w:sz="12" w:space="0"/>
                  </w:tcBorders>
                  <w:vAlign w:val="center"/>
                </w:tcPr>
                <w:p>
                  <w:pPr>
                    <w:jc w:val="center"/>
                    <w:rPr>
                      <w:rFonts w:ascii="宋体" w:hAnsi="宋体"/>
                      <w:b/>
                      <w:sz w:val="24"/>
                    </w:rPr>
                  </w:pPr>
                  <w:r>
                    <w:rPr>
                      <w:b/>
                      <w:bCs/>
                      <w:szCs w:val="21"/>
                    </w:rPr>
                    <w:t>本项目</w:t>
                  </w:r>
                </w:p>
              </w:tc>
              <w:tc>
                <w:tcPr>
                  <w:tcW w:w="947" w:type="dxa"/>
                  <w:tcBorders>
                    <w:top w:val="single" w:color="auto" w:sz="12" w:space="0"/>
                    <w:right w:val="nil"/>
                  </w:tcBorders>
                  <w:vAlign w:val="center"/>
                </w:tcPr>
                <w:p>
                  <w:pPr>
                    <w:jc w:val="center"/>
                    <w:rPr>
                      <w:rFonts w:ascii="宋体" w:hAnsi="宋体"/>
                      <w:b/>
                      <w:sz w:val="24"/>
                    </w:rPr>
                  </w:pPr>
                  <w:r>
                    <w:rPr>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rFonts w:ascii="宋体" w:hAnsi="宋体"/>
                      <w:b/>
                      <w:sz w:val="24"/>
                    </w:rPr>
                  </w:pPr>
                  <w:r>
                    <w:rPr>
                      <w:rFonts w:hint="eastAsia"/>
                      <w:szCs w:val="21"/>
                    </w:rPr>
                    <w:t>一般要求</w:t>
                  </w:r>
                </w:p>
              </w:tc>
              <w:tc>
                <w:tcPr>
                  <w:tcW w:w="3086" w:type="dxa"/>
                  <w:vAlign w:val="center"/>
                </w:tcPr>
                <w:p>
                  <w:pPr>
                    <w:rPr>
                      <w:rFonts w:ascii="宋体" w:hAnsi="宋体"/>
                      <w:b/>
                      <w:sz w:val="24"/>
                    </w:rPr>
                  </w:pPr>
                  <w:r>
                    <w:rPr>
                      <w:szCs w:val="21"/>
                    </w:rPr>
                    <w:t>所有危险废物产生者和危险废物经营者应建造专用的危险废物贮存设施，也可利用原有构筑物改建成危险废物贮存设施</w:t>
                  </w:r>
                </w:p>
              </w:tc>
              <w:tc>
                <w:tcPr>
                  <w:tcW w:w="2843" w:type="dxa"/>
                  <w:vAlign w:val="center"/>
                </w:tcPr>
                <w:p>
                  <w:pPr>
                    <w:rPr>
                      <w:rFonts w:ascii="宋体" w:hAnsi="宋体"/>
                      <w:b/>
                      <w:sz w:val="24"/>
                    </w:rPr>
                  </w:pPr>
                  <w:r>
                    <w:rPr>
                      <w:szCs w:val="21"/>
                    </w:rPr>
                    <w:t>本项目</w:t>
                  </w:r>
                  <w:r>
                    <w:rPr>
                      <w:rFonts w:hint="eastAsia"/>
                      <w:szCs w:val="21"/>
                    </w:rPr>
                    <w:t>租用厂房</w:t>
                  </w:r>
                  <w:r>
                    <w:rPr>
                      <w:rFonts w:hint="eastAsia"/>
                      <w:szCs w:val="21"/>
                      <w:lang w:eastAsia="zh-CN"/>
                    </w:rPr>
                    <w:t>，改建</w:t>
                  </w:r>
                  <w:r>
                    <w:rPr>
                      <w:szCs w:val="21"/>
                    </w:rPr>
                    <w:t>地面采用混凝土浇筑地面+人工防渗层，</w:t>
                  </w:r>
                  <w:r>
                    <w:rPr>
                      <w:rFonts w:hint="eastAsia"/>
                      <w:szCs w:val="21"/>
                    </w:rPr>
                    <w:t>本项目</w:t>
                  </w:r>
                  <w:r>
                    <w:rPr>
                      <w:szCs w:val="21"/>
                    </w:rPr>
                    <w:t>建设</w:t>
                  </w:r>
                  <w:r>
                    <w:rPr>
                      <w:rFonts w:hint="eastAsia"/>
                      <w:szCs w:val="21"/>
                    </w:rPr>
                    <w:t>增设</w:t>
                  </w:r>
                  <w:r>
                    <w:rPr>
                      <w:szCs w:val="21"/>
                    </w:rPr>
                    <w:t>收集防泄露设施</w:t>
                  </w:r>
                  <w:r>
                    <w:rPr>
                      <w:rFonts w:hint="eastAsia"/>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在常温常压下易爆、易燃及排出有毒气体的危险废物必须进行预处理，使之稳定后贮存，否则，按易爆、易燃危险品贮存</w:t>
                  </w:r>
                </w:p>
              </w:tc>
              <w:tc>
                <w:tcPr>
                  <w:tcW w:w="2843" w:type="dxa"/>
                  <w:vAlign w:val="center"/>
                </w:tcPr>
                <w:p>
                  <w:pPr>
                    <w:rPr>
                      <w:rFonts w:ascii="宋体" w:hAnsi="宋体"/>
                      <w:b/>
                      <w:sz w:val="24"/>
                    </w:rPr>
                  </w:pPr>
                  <w:r>
                    <w:rPr>
                      <w:szCs w:val="21"/>
                    </w:rPr>
                    <w:t>本项目为液态废机油贮存，不涉及易爆、易燃及排出有毒气体的危险废物贮存</w:t>
                  </w:r>
                  <w:r>
                    <w:rPr>
                      <w:rFonts w:hint="eastAsia"/>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在常温常压下不水解、不挥发的固体危险废物可在贮存设施内分别堆放</w:t>
                  </w:r>
                </w:p>
              </w:tc>
              <w:tc>
                <w:tcPr>
                  <w:tcW w:w="2843" w:type="dxa"/>
                  <w:vAlign w:val="center"/>
                </w:tcPr>
                <w:p>
                  <w:pPr>
                    <w:rPr>
                      <w:rFonts w:ascii="宋体" w:hAnsi="宋体"/>
                      <w:b/>
                      <w:sz w:val="24"/>
                    </w:rPr>
                  </w:pPr>
                  <w:r>
                    <w:rPr>
                      <w:szCs w:val="21"/>
                    </w:rPr>
                    <w:t>本项目</w:t>
                  </w:r>
                  <w:r>
                    <w:rPr>
                      <w:rFonts w:hint="eastAsia"/>
                      <w:szCs w:val="21"/>
                    </w:rPr>
                    <w:t>贮存废机油，有少量废气挥发，本项目</w:t>
                  </w:r>
                  <w:r>
                    <w:rPr>
                      <w:szCs w:val="21"/>
                    </w:rPr>
                    <w:t>废机油</w:t>
                  </w:r>
                  <w:r>
                    <w:rPr>
                      <w:rFonts w:hint="eastAsia"/>
                      <w:szCs w:val="21"/>
                    </w:rPr>
                    <w:t>采用</w:t>
                  </w:r>
                  <w:r>
                    <w:rPr>
                      <w:szCs w:val="21"/>
                    </w:rPr>
                    <w:t>储罐贮存</w:t>
                  </w:r>
                  <w:r>
                    <w:rPr>
                      <w:rFonts w:hint="eastAsia"/>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禁止将不相容（相互反应）的危险废物在同一容器内混装</w:t>
                  </w:r>
                </w:p>
              </w:tc>
              <w:tc>
                <w:tcPr>
                  <w:tcW w:w="2843" w:type="dxa"/>
                  <w:vAlign w:val="center"/>
                </w:tcPr>
                <w:p>
                  <w:pPr>
                    <w:rPr>
                      <w:rFonts w:ascii="宋体" w:hAnsi="宋体"/>
                      <w:b/>
                      <w:sz w:val="24"/>
                    </w:rPr>
                  </w:pPr>
                  <w:r>
                    <w:rPr>
                      <w:szCs w:val="21"/>
                    </w:rPr>
                    <w:t>本项目</w:t>
                  </w:r>
                  <w:r>
                    <w:rPr>
                      <w:rFonts w:hint="eastAsia"/>
                      <w:szCs w:val="21"/>
                    </w:rPr>
                    <w:t>只收集</w:t>
                  </w:r>
                  <w:r>
                    <w:rPr>
                      <w:szCs w:val="21"/>
                    </w:rPr>
                    <w:t>废机油</w:t>
                  </w:r>
                  <w:r>
                    <w:rPr>
                      <w:rFonts w:hint="eastAsia"/>
                      <w:szCs w:val="21"/>
                    </w:rPr>
                    <w:t>一种危废，</w:t>
                  </w:r>
                  <w:r>
                    <w:rPr>
                      <w:szCs w:val="21"/>
                    </w:rPr>
                    <w:t>不涉及不相容</w:t>
                  </w:r>
                  <w:r>
                    <w:rPr>
                      <w:rFonts w:hint="eastAsia"/>
                      <w:szCs w:val="21"/>
                    </w:rPr>
                    <w:t>危废</w:t>
                  </w:r>
                  <w:r>
                    <w:rPr>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装载液体、半固体危险废物的容器内须留足够空间，容器顶部与液体表面之间保留100毫米以上的空间</w:t>
                  </w:r>
                </w:p>
              </w:tc>
              <w:tc>
                <w:tcPr>
                  <w:tcW w:w="2843" w:type="dxa"/>
                  <w:vAlign w:val="center"/>
                </w:tcPr>
                <w:p>
                  <w:pPr>
                    <w:rPr>
                      <w:szCs w:val="21"/>
                    </w:rPr>
                  </w:pPr>
                  <w:r>
                    <w:rPr>
                      <w:szCs w:val="21"/>
                    </w:rPr>
                    <w:t>本项目储油罐</w:t>
                  </w:r>
                  <w:r>
                    <w:rPr>
                      <w:rFonts w:hint="eastAsia"/>
                      <w:szCs w:val="21"/>
                    </w:rPr>
                    <w:t>应</w:t>
                  </w:r>
                  <w:r>
                    <w:rPr>
                      <w:szCs w:val="21"/>
                    </w:rPr>
                    <w:t>按相关要求设计，容器顶部与液体表面之间保留100毫米以上的空间</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tcPr>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szCs w:val="21"/>
                    </w:rPr>
                  </w:pPr>
                </w:p>
                <w:p>
                  <w:pPr>
                    <w:pStyle w:val="2"/>
                  </w:pPr>
                </w:p>
                <w:p>
                  <w:pPr>
                    <w:snapToGrid w:val="0"/>
                    <w:spacing w:line="360" w:lineRule="auto"/>
                    <w:jc w:val="center"/>
                    <w:rPr>
                      <w:rFonts w:ascii="宋体" w:hAnsi="宋体"/>
                      <w:b/>
                      <w:sz w:val="24"/>
                    </w:rPr>
                  </w:pPr>
                  <w:r>
                    <w:rPr>
                      <w:rFonts w:hint="eastAsia"/>
                      <w:szCs w:val="21"/>
                    </w:rPr>
                    <w:t>选址</w:t>
                  </w:r>
                </w:p>
              </w:tc>
              <w:tc>
                <w:tcPr>
                  <w:tcW w:w="3086" w:type="dxa"/>
                  <w:vAlign w:val="center"/>
                </w:tcPr>
                <w:p>
                  <w:pPr>
                    <w:rPr>
                      <w:szCs w:val="21"/>
                    </w:rPr>
                  </w:pPr>
                  <w:r>
                    <w:rPr>
                      <w:szCs w:val="21"/>
                    </w:rPr>
                    <w:t>地质结构稳定，地震烈度不超过7度的区域内</w:t>
                  </w:r>
                </w:p>
              </w:tc>
              <w:tc>
                <w:tcPr>
                  <w:tcW w:w="2843" w:type="dxa"/>
                  <w:vAlign w:val="center"/>
                </w:tcPr>
                <w:p>
                  <w:pPr>
                    <w:rPr>
                      <w:szCs w:val="21"/>
                    </w:rPr>
                  </w:pPr>
                  <w:r>
                    <w:rPr>
                      <w:szCs w:val="21"/>
                    </w:rPr>
                    <w:t>项目区域地质结构稳定，地震烈度不超过7度。</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设施底部必须高于地下水最高水位</w:t>
                  </w:r>
                </w:p>
              </w:tc>
              <w:tc>
                <w:tcPr>
                  <w:tcW w:w="2843" w:type="dxa"/>
                  <w:vAlign w:val="center"/>
                </w:tcPr>
                <w:p>
                  <w:pPr>
                    <w:rPr>
                      <w:szCs w:val="21"/>
                    </w:rPr>
                  </w:pPr>
                  <w:r>
                    <w:rPr>
                      <w:szCs w:val="21"/>
                    </w:rPr>
                    <w:t>项目能够满足要求</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应依据环境影响评价结论确定危险废物集中贮存设施的位置及其与周围人群距离，并经具有审批权的环境保护行政主管部</w:t>
                  </w:r>
                  <w:r>
                    <w:rPr>
                      <w:rFonts w:hint="default" w:asciiTheme="minorAscii" w:hAnsiTheme="minorAscii" w:eastAsiaTheme="minorEastAsia"/>
                      <w:spacing w:val="-11"/>
                      <w:sz w:val="21"/>
                      <w:szCs w:val="21"/>
                    </w:rPr>
                    <w:t>门批准，并可作为规划控制的依据</w:t>
                  </w:r>
                </w:p>
              </w:tc>
              <w:tc>
                <w:tcPr>
                  <w:tcW w:w="2843" w:type="dxa"/>
                  <w:vAlign w:val="center"/>
                </w:tcPr>
                <w:p>
                  <w:pPr>
                    <w:jc w:val="center"/>
                    <w:rPr>
                      <w:szCs w:val="21"/>
                    </w:rPr>
                  </w:pPr>
                  <w:r>
                    <w:rPr>
                      <w:rFonts w:hint="eastAsia" w:ascii="宋体" w:hAnsi="宋体" w:cs="宋体"/>
                      <w:szCs w:val="21"/>
                    </w:rPr>
                    <w:t>本项目距离最近</w:t>
                  </w:r>
                  <w:r>
                    <w:rPr>
                      <w:rFonts w:hint="eastAsia" w:ascii="宋体" w:hAnsi="宋体" w:cs="宋体"/>
                      <w:szCs w:val="21"/>
                      <w:lang w:eastAsia="zh-CN"/>
                    </w:rPr>
                    <w:t>居</w:t>
                  </w:r>
                  <w:r>
                    <w:rPr>
                      <w:rFonts w:hint="eastAsia" w:ascii="宋体" w:hAnsi="宋体" w:cs="宋体"/>
                      <w:szCs w:val="21"/>
                    </w:rPr>
                    <w:t>民</w:t>
                  </w:r>
                  <w:r>
                    <w:rPr>
                      <w:rFonts w:hint="eastAsia" w:ascii="宋体" w:hAnsi="宋体" w:cs="宋体"/>
                      <w:szCs w:val="21"/>
                      <w:lang w:eastAsia="zh-CN"/>
                    </w:rPr>
                    <w:t>为西侧</w:t>
                  </w: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0m</w:t>
                  </w:r>
                  <w:r>
                    <w:rPr>
                      <w:rFonts w:hint="eastAsia" w:ascii="宋体" w:hAnsi="宋体" w:cs="宋体"/>
                      <w:szCs w:val="21"/>
                      <w:lang w:eastAsia="zh-CN"/>
                    </w:rPr>
                    <w:t>华兴家园小区</w:t>
                  </w:r>
                  <w:r>
                    <w:rPr>
                      <w:rFonts w:hint="eastAsia" w:ascii="宋体" w:hAnsi="宋体" w:cs="宋体"/>
                      <w:szCs w:val="21"/>
                    </w:rPr>
                    <w:t>，</w:t>
                  </w:r>
                  <w:r>
                    <w:rPr>
                      <w:rFonts w:ascii="宋体" w:hAnsi="宋体" w:cs="宋体"/>
                      <w:szCs w:val="21"/>
                    </w:rPr>
                    <w:t>建议</w:t>
                  </w:r>
                  <w:r>
                    <w:rPr>
                      <w:rFonts w:hint="eastAsia" w:ascii="宋体" w:hAnsi="宋体" w:cs="宋体"/>
                      <w:szCs w:val="21"/>
                    </w:rPr>
                    <w:t>本项目</w:t>
                  </w:r>
                  <w:r>
                    <w:rPr>
                      <w:rFonts w:ascii="宋体" w:hAnsi="宋体" w:cs="宋体"/>
                      <w:szCs w:val="21"/>
                    </w:rPr>
                    <w:t>运行期间，</w:t>
                  </w:r>
                  <w:r>
                    <w:rPr>
                      <w:rFonts w:hint="eastAsia" w:ascii="宋体" w:hAnsi="宋体" w:cs="宋体"/>
                      <w:szCs w:val="21"/>
                    </w:rPr>
                    <w:t>厂区</w:t>
                  </w:r>
                  <w:r>
                    <w:rPr>
                      <w:rFonts w:ascii="宋体" w:hAnsi="宋体" w:cs="宋体"/>
                      <w:szCs w:val="21"/>
                    </w:rPr>
                    <w:t>周围不在规划</w:t>
                  </w:r>
                  <w:r>
                    <w:rPr>
                      <w:rFonts w:hint="eastAsia" w:ascii="宋体" w:hAnsi="宋体" w:cs="宋体"/>
                      <w:szCs w:val="21"/>
                    </w:rPr>
                    <w:t>建设</w:t>
                  </w:r>
                  <w:r>
                    <w:rPr>
                      <w:rFonts w:ascii="宋体" w:hAnsi="宋体" w:cs="宋体"/>
                      <w:szCs w:val="21"/>
                    </w:rPr>
                    <w:t>居民、学习、医院等环境敏感点</w:t>
                  </w:r>
                  <w:r>
                    <w:rPr>
                      <w:rFonts w:hint="eastAsia" w:ascii="宋体" w:hAnsi="宋体" w:cs="宋体"/>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应避免建在溶洞区或易遭受严重自然灾害如洪水，滑坡，泥石流、潮汐等影响的地区</w:t>
                  </w:r>
                </w:p>
              </w:tc>
              <w:tc>
                <w:tcPr>
                  <w:tcW w:w="2843" w:type="dxa"/>
                  <w:vAlign w:val="center"/>
                </w:tcPr>
                <w:p>
                  <w:pPr>
                    <w:rPr>
                      <w:spacing w:val="-2"/>
                      <w:szCs w:val="21"/>
                    </w:rPr>
                  </w:pPr>
                  <w:r>
                    <w:rPr>
                      <w:spacing w:val="-2"/>
                      <w:szCs w:val="21"/>
                    </w:rPr>
                    <w:t>项目位置地势平坦，不涉及溶洞区或易遭受严重自然灾害如洪水、滑坡，泥石流、潮汐影响的地区</w:t>
                  </w:r>
                  <w:r>
                    <w:rPr>
                      <w:rFonts w:hint="eastAsia"/>
                      <w:spacing w:val="-2"/>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应在易燃、易爆等危险品仓库、高压输电线路防护区域以外</w:t>
                  </w:r>
                </w:p>
              </w:tc>
              <w:tc>
                <w:tcPr>
                  <w:tcW w:w="2843" w:type="dxa"/>
                  <w:vAlign w:val="center"/>
                </w:tcPr>
                <w:p>
                  <w:pPr>
                    <w:rPr>
                      <w:szCs w:val="21"/>
                    </w:rPr>
                  </w:pPr>
                  <w:r>
                    <w:rPr>
                      <w:szCs w:val="21"/>
                    </w:rPr>
                    <w:t>本项目评价范围内不涉及易燃、易爆等</w:t>
                  </w:r>
                  <w:r>
                    <w:rPr>
                      <w:rFonts w:hint="eastAsia"/>
                      <w:szCs w:val="21"/>
                    </w:rPr>
                    <w:t>危废仓储</w:t>
                  </w:r>
                  <w:r>
                    <w:rPr>
                      <w:szCs w:val="21"/>
                    </w:rPr>
                    <w:t>，且</w:t>
                  </w:r>
                  <w:r>
                    <w:rPr>
                      <w:rFonts w:hint="eastAsia"/>
                      <w:szCs w:val="21"/>
                    </w:rPr>
                    <w:t>选址</w:t>
                  </w:r>
                  <w:r>
                    <w:rPr>
                      <w:szCs w:val="21"/>
                    </w:rPr>
                    <w:t>在高压输电线路防护区</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应位于居民中心区常年最大风频的下风向</w:t>
                  </w:r>
                </w:p>
              </w:tc>
              <w:tc>
                <w:tcPr>
                  <w:tcW w:w="2843" w:type="dxa"/>
                  <w:vAlign w:val="center"/>
                </w:tcPr>
                <w:p>
                  <w:pPr>
                    <w:rPr>
                      <w:szCs w:val="21"/>
                    </w:rPr>
                  </w:pPr>
                  <w:r>
                    <w:rPr>
                      <w:szCs w:val="21"/>
                    </w:rPr>
                    <w:t>本项目位于居民中心常年风向的侧风向</w:t>
                  </w:r>
                  <w:r>
                    <w:rPr>
                      <w:rFonts w:hint="eastAsia"/>
                      <w:szCs w:val="21"/>
                    </w:rPr>
                    <w:t>，</w:t>
                  </w:r>
                  <w:r>
                    <w:rPr>
                      <w:szCs w:val="21"/>
                    </w:rPr>
                    <w:t>项目选址下风向居民较远。</w:t>
                  </w:r>
                </w:p>
              </w:tc>
              <w:tc>
                <w:tcPr>
                  <w:tcW w:w="947" w:type="dxa"/>
                  <w:tcBorders>
                    <w:right w:val="nil"/>
                  </w:tcBorders>
                  <w:vAlign w:val="center"/>
                </w:tcPr>
                <w:p>
                  <w:pPr>
                    <w:jc w:val="center"/>
                    <w:rPr>
                      <w:szCs w:val="21"/>
                    </w:rPr>
                  </w:pPr>
                  <w:r>
                    <w:rPr>
                      <w:rFonts w:hint="eastAsia"/>
                      <w:szCs w:val="21"/>
                    </w:rPr>
                    <w:t>基本</w:t>
                  </w: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集中贮存的废物堆选址除满足以上要求外，还应满足基础必须防渗的要求</w:t>
                  </w:r>
                </w:p>
              </w:tc>
              <w:tc>
                <w:tcPr>
                  <w:tcW w:w="2843" w:type="dxa"/>
                  <w:vAlign w:val="center"/>
                </w:tcPr>
                <w:p>
                  <w:pPr>
                    <w:rPr>
                      <w:szCs w:val="21"/>
                    </w:rPr>
                  </w:pPr>
                  <w:r>
                    <w:rPr>
                      <w:rFonts w:hint="eastAsia"/>
                      <w:szCs w:val="21"/>
                    </w:rPr>
                    <w:t>本项目租用厂房地面已采用混凝土浇筑地面+人工防渗层，本项目</w:t>
                  </w:r>
                  <w:r>
                    <w:rPr>
                      <w:szCs w:val="21"/>
                    </w:rPr>
                    <w:t>建设期应根据要求进一步采取地面防渗。</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地面与裙脚要用坚固、防渗的材料建造，建筑材料必须与危险废物相容</w:t>
                  </w:r>
                </w:p>
              </w:tc>
              <w:tc>
                <w:tcPr>
                  <w:tcW w:w="2843" w:type="dxa"/>
                  <w:vAlign w:val="center"/>
                </w:tcPr>
                <w:p>
                  <w:pPr>
                    <w:rPr>
                      <w:szCs w:val="21"/>
                    </w:rPr>
                  </w:pPr>
                  <w:r>
                    <w:rPr>
                      <w:rFonts w:hint="eastAsia"/>
                      <w:szCs w:val="21"/>
                    </w:rPr>
                    <w:t>废机油收储车间</w:t>
                  </w:r>
                  <w:r>
                    <w:rPr>
                      <w:szCs w:val="21"/>
                    </w:rPr>
                    <w:t>地面</w:t>
                  </w:r>
                  <w:r>
                    <w:rPr>
                      <w:rFonts w:hint="eastAsia"/>
                      <w:szCs w:val="21"/>
                    </w:rPr>
                    <w:t>应</w:t>
                  </w:r>
                  <w:r>
                    <w:rPr>
                      <w:szCs w:val="21"/>
                    </w:rPr>
                    <w:t>按要求采用混凝土浇筑地面+防渗层</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贮存设施</w:t>
                  </w:r>
                </w:p>
                <w:p>
                  <w:pPr>
                    <w:snapToGrid w:val="0"/>
                    <w:spacing w:line="360" w:lineRule="auto"/>
                    <w:rPr>
                      <w:rFonts w:ascii="宋体" w:hAnsi="宋体"/>
                      <w:b/>
                      <w:sz w:val="24"/>
                    </w:rPr>
                  </w:pPr>
                  <w:r>
                    <w:rPr>
                      <w:szCs w:val="21"/>
                    </w:rPr>
                    <w:t>设计原则</w:t>
                  </w:r>
                </w:p>
              </w:tc>
              <w:tc>
                <w:tcPr>
                  <w:tcW w:w="3086" w:type="dxa"/>
                  <w:vAlign w:val="center"/>
                </w:tcPr>
                <w:p>
                  <w:pPr>
                    <w:rPr>
                      <w:rFonts w:ascii="宋体" w:hAnsi="宋体"/>
                      <w:b/>
                      <w:sz w:val="24"/>
                    </w:rPr>
                  </w:pPr>
                  <w:r>
                    <w:rPr>
                      <w:szCs w:val="21"/>
                    </w:rPr>
                    <w:t>必须有泄漏液体收集装置</w:t>
                  </w:r>
                </w:p>
              </w:tc>
              <w:tc>
                <w:tcPr>
                  <w:tcW w:w="2843" w:type="dxa"/>
                  <w:vAlign w:val="center"/>
                </w:tcPr>
                <w:p>
                  <w:pPr>
                    <w:rPr>
                      <w:rFonts w:ascii="宋体" w:hAnsi="宋体"/>
                      <w:b/>
                      <w:sz w:val="24"/>
                    </w:rPr>
                  </w:pPr>
                  <w:r>
                    <w:rPr>
                      <w:rFonts w:hint="eastAsia"/>
                      <w:szCs w:val="21"/>
                    </w:rPr>
                    <w:t>本项目</w:t>
                  </w:r>
                  <w:r>
                    <w:rPr>
                      <w:szCs w:val="21"/>
                    </w:rPr>
                    <w:t>建设</w:t>
                  </w:r>
                  <w:r>
                    <w:rPr>
                      <w:rFonts w:hint="eastAsia"/>
                      <w:szCs w:val="21"/>
                    </w:rPr>
                    <w:t>增设</w:t>
                  </w:r>
                  <w:r>
                    <w:rPr>
                      <w:szCs w:val="21"/>
                    </w:rPr>
                    <w:t>专用物料收</w:t>
                  </w:r>
                  <w:r>
                    <w:rPr>
                      <w:rFonts w:hint="default" w:asciiTheme="minorAscii" w:hAnsiTheme="minorAscii" w:eastAsiaTheme="minorEastAsia"/>
                      <w:spacing w:val="-6"/>
                      <w:sz w:val="21"/>
                      <w:szCs w:val="21"/>
                    </w:rPr>
                    <w:t>集防泄露设施，罐区设置围堤</w:t>
                  </w:r>
                  <w:r>
                    <w:rPr>
                      <w:rFonts w:hint="eastAsia"/>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用以存放装载液体、半固体危险废物容器的地方，必须有耐腐蚀的硬化地面，且表面无裂隙</w:t>
                  </w:r>
                </w:p>
              </w:tc>
              <w:tc>
                <w:tcPr>
                  <w:tcW w:w="2843" w:type="dxa"/>
                  <w:vAlign w:val="center"/>
                </w:tcPr>
                <w:p>
                  <w:pPr>
                    <w:rPr>
                      <w:rFonts w:ascii="宋体" w:hAnsi="宋体"/>
                      <w:b/>
                      <w:sz w:val="24"/>
                    </w:rPr>
                  </w:pPr>
                  <w:r>
                    <w:rPr>
                      <w:rFonts w:hint="eastAsia"/>
                      <w:szCs w:val="21"/>
                    </w:rPr>
                    <w:t>本项目租用厂房地面已采用混凝土浇筑地面+人工防渗层，本项目建设应对</w:t>
                  </w:r>
                  <w:r>
                    <w:rPr>
                      <w:szCs w:val="21"/>
                    </w:rPr>
                    <w:t>防渗进一步完善</w:t>
                  </w:r>
                  <w:r>
                    <w:rPr>
                      <w:rFonts w:hint="eastAsia"/>
                      <w:szCs w:val="21"/>
                    </w:rPr>
                    <w:t>，</w:t>
                  </w:r>
                  <w:r>
                    <w:rPr>
                      <w:szCs w:val="21"/>
                    </w:rPr>
                    <w:t>确保表面无裂</w:t>
                  </w:r>
                  <w:r>
                    <w:rPr>
                      <w:rFonts w:hint="eastAsia"/>
                      <w:szCs w:val="21"/>
                    </w:rPr>
                    <w:t>隙</w:t>
                  </w:r>
                  <w:r>
                    <w:rPr>
                      <w:szCs w:val="21"/>
                    </w:rPr>
                    <w:t>。</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应设计堵截泄漏的裙脚，地面与裙脚所围建的容积不低于堵截最大容器的最大储量或总储量的五分之一</w:t>
                  </w:r>
                </w:p>
              </w:tc>
              <w:tc>
                <w:tcPr>
                  <w:tcW w:w="2843" w:type="dxa"/>
                  <w:vAlign w:val="center"/>
                </w:tcPr>
                <w:p>
                  <w:pPr>
                    <w:rPr>
                      <w:rFonts w:ascii="宋体" w:hAnsi="宋体"/>
                      <w:b/>
                      <w:sz w:val="24"/>
                    </w:rPr>
                  </w:pPr>
                  <w:r>
                    <w:rPr>
                      <w:szCs w:val="21"/>
                    </w:rPr>
                    <w:t>本项目的废机油按规范存储，并在</w:t>
                  </w:r>
                  <w:r>
                    <w:rPr>
                      <w:rFonts w:hint="eastAsia"/>
                      <w:szCs w:val="21"/>
                    </w:rPr>
                    <w:t>废机油收储车间</w:t>
                  </w:r>
                  <w:r>
                    <w:rPr>
                      <w:szCs w:val="21"/>
                    </w:rPr>
                    <w:t>设围堰，高度不低于1m，可满足最大容器的最大储量或总储量的五分之一要求</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rFonts w:ascii="宋体" w:hAnsi="宋体"/>
                      <w:b/>
                      <w:sz w:val="24"/>
                    </w:rPr>
                  </w:pPr>
                  <w:r>
                    <w:rPr>
                      <w:szCs w:val="21"/>
                    </w:rPr>
                    <w:t>不相容的危险废物必须分开存放，并设有隔离间隔断基础必须防渗</w:t>
                  </w:r>
                </w:p>
              </w:tc>
              <w:tc>
                <w:tcPr>
                  <w:tcW w:w="2843" w:type="dxa"/>
                  <w:vAlign w:val="center"/>
                </w:tcPr>
                <w:p>
                  <w:pPr>
                    <w:rPr>
                      <w:szCs w:val="21"/>
                    </w:rPr>
                  </w:pPr>
                  <w:r>
                    <w:rPr>
                      <w:szCs w:val="21"/>
                    </w:rPr>
                    <w:t>本项目</w:t>
                  </w:r>
                  <w:r>
                    <w:rPr>
                      <w:rFonts w:hint="eastAsia"/>
                      <w:szCs w:val="21"/>
                    </w:rPr>
                    <w:t>拆解产生危险废物</w:t>
                  </w:r>
                  <w:r>
                    <w:rPr>
                      <w:rFonts w:hint="eastAsia"/>
                      <w:szCs w:val="21"/>
                      <w:lang w:eastAsia="zh-CN"/>
                    </w:rPr>
                    <w:t>与废机油分别存放在废机油收储车间（也称危废间）</w:t>
                  </w:r>
                  <w:r>
                    <w:rPr>
                      <w:rFonts w:hint="eastAsia"/>
                      <w:szCs w:val="21"/>
                    </w:rPr>
                    <w:t>，</w:t>
                  </w:r>
                  <w:r>
                    <w:rPr>
                      <w:rFonts w:hint="eastAsia"/>
                      <w:szCs w:val="21"/>
                      <w:lang w:eastAsia="zh-CN"/>
                    </w:rPr>
                    <w:t>采取</w:t>
                  </w:r>
                  <w:r>
                    <w:rPr>
                      <w:rFonts w:hint="default" w:asciiTheme="minorAscii" w:hAnsiTheme="minorAscii" w:eastAsiaTheme="minorEastAsia"/>
                      <w:spacing w:val="-6"/>
                      <w:sz w:val="21"/>
                      <w:szCs w:val="21"/>
                      <w:lang w:eastAsia="zh-CN"/>
                    </w:rPr>
                    <w:t>分区间隔存放，地面硬化防</w:t>
                  </w:r>
                  <w:r>
                    <w:rPr>
                      <w:rFonts w:hint="eastAsia"/>
                      <w:szCs w:val="21"/>
                      <w:lang w:eastAsia="zh-CN"/>
                    </w:rPr>
                    <w:t>渗。</w:t>
                  </w:r>
                </w:p>
              </w:tc>
              <w:tc>
                <w:tcPr>
                  <w:tcW w:w="947" w:type="dxa"/>
                  <w:tcBorders>
                    <w:right w:val="nil"/>
                  </w:tcBorders>
                  <w:vAlign w:val="center"/>
                </w:tcPr>
                <w:p>
                  <w:pPr>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pStyle w:val="2"/>
                  </w:pPr>
                </w:p>
                <w:p>
                  <w:pPr>
                    <w:snapToGrid w:val="0"/>
                    <w:spacing w:line="360" w:lineRule="auto"/>
                    <w:jc w:val="center"/>
                    <w:rPr>
                      <w:rFonts w:ascii="宋体" w:hAnsi="宋体"/>
                      <w:b/>
                      <w:sz w:val="24"/>
                    </w:rPr>
                  </w:pPr>
                  <w:r>
                    <w:rPr>
                      <w:szCs w:val="21"/>
                    </w:rPr>
                    <w:t>堆放</w:t>
                  </w:r>
                </w:p>
              </w:tc>
              <w:tc>
                <w:tcPr>
                  <w:tcW w:w="3086" w:type="dxa"/>
                  <w:vAlign w:val="center"/>
                </w:tcPr>
                <w:p>
                  <w:pPr>
                    <w:rPr>
                      <w:szCs w:val="21"/>
                    </w:rPr>
                  </w:pPr>
                  <w:r>
                    <w:rPr>
                      <w:szCs w:val="21"/>
                    </w:rPr>
                    <w:t>堆放危险废物的高度应根据地面承载能力确定</w:t>
                  </w:r>
                </w:p>
              </w:tc>
              <w:tc>
                <w:tcPr>
                  <w:tcW w:w="2843" w:type="dxa"/>
                  <w:vMerge w:val="restart"/>
                  <w:vAlign w:val="center"/>
                </w:tcPr>
                <w:p>
                  <w:pPr>
                    <w:rPr>
                      <w:rFonts w:hint="eastAsia" w:eastAsiaTheme="minorEastAsia"/>
                      <w:szCs w:val="21"/>
                      <w:lang w:val="en-US" w:eastAsia="zh-CN"/>
                    </w:rPr>
                  </w:pPr>
                  <w:r>
                    <w:rPr>
                      <w:szCs w:val="21"/>
                    </w:rPr>
                    <w:t>本项目废机油采取储罐存，</w:t>
                  </w:r>
                  <w:r>
                    <w:rPr>
                      <w:rFonts w:hint="eastAsia"/>
                      <w:szCs w:val="21"/>
                    </w:rPr>
                    <w:t>储罐</w:t>
                  </w:r>
                  <w:r>
                    <w:rPr>
                      <w:szCs w:val="21"/>
                    </w:rPr>
                    <w:t>位于</w:t>
                  </w:r>
                  <w:r>
                    <w:rPr>
                      <w:rFonts w:hint="eastAsia"/>
                      <w:szCs w:val="21"/>
                    </w:rPr>
                    <w:t>危废间</w:t>
                  </w:r>
                  <w:r>
                    <w:rPr>
                      <w:szCs w:val="21"/>
                    </w:rPr>
                    <w:t>，</w:t>
                  </w:r>
                  <w:r>
                    <w:rPr>
                      <w:rFonts w:hint="eastAsia"/>
                      <w:szCs w:val="21"/>
                      <w:lang w:val="en-US" w:eastAsia="zh-CN"/>
                    </w:rPr>
                    <w:t>废机油与其它危险废物</w:t>
                  </w:r>
                  <w:r>
                    <w:rPr>
                      <w:rFonts w:hint="eastAsia"/>
                      <w:szCs w:val="21"/>
                      <w:lang w:eastAsia="zh-CN"/>
                    </w:rPr>
                    <w:t>采取</w:t>
                  </w:r>
                  <w:r>
                    <w:rPr>
                      <w:rFonts w:hint="default"/>
                      <w:szCs w:val="21"/>
                      <w:lang w:eastAsia="zh-CN"/>
                    </w:rPr>
                    <w:t>分区间隔存放</w:t>
                  </w:r>
                  <w:r>
                    <w:rPr>
                      <w:rFonts w:hint="eastAsia"/>
                      <w:szCs w:val="21"/>
                      <w:lang w:eastAsia="zh-CN"/>
                    </w:rPr>
                    <w:t>。</w:t>
                  </w:r>
                  <w:r>
                    <w:rPr>
                      <w:szCs w:val="21"/>
                    </w:rPr>
                    <w:t>防风、防雨、防晒，</w:t>
                  </w:r>
                  <w:r>
                    <w:rPr>
                      <w:rFonts w:hint="default"/>
                      <w:szCs w:val="21"/>
                      <w:lang w:eastAsia="zh-CN"/>
                    </w:rPr>
                    <w:t>地</w:t>
                  </w:r>
                  <w:r>
                    <w:rPr>
                      <w:rFonts w:hint="default" w:asciiTheme="minorAscii" w:hAnsiTheme="minorAscii" w:eastAsiaTheme="minorEastAsia"/>
                      <w:spacing w:val="-6"/>
                      <w:sz w:val="21"/>
                      <w:szCs w:val="21"/>
                      <w:lang w:eastAsia="zh-CN"/>
                    </w:rPr>
                    <w:t>面硬化防</w:t>
                  </w:r>
                  <w:r>
                    <w:rPr>
                      <w:rFonts w:hint="eastAsia"/>
                      <w:szCs w:val="21"/>
                      <w:lang w:eastAsia="zh-CN"/>
                    </w:rPr>
                    <w:t>渗。</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危险废物堆内设计雨水收集池，并能收集25年一遇的暴雨24小时降水量</w:t>
                  </w:r>
                </w:p>
              </w:tc>
              <w:tc>
                <w:tcPr>
                  <w:tcW w:w="2843" w:type="dxa"/>
                  <w:vMerge w:val="continue"/>
                  <w:vAlign w:val="center"/>
                </w:tcPr>
                <w:p>
                  <w:pPr>
                    <w:rPr>
                      <w:szCs w:val="21"/>
                    </w:rPr>
                  </w:pP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危险废物堆放要防风、防雨、防晒，不相容的危险废物不能堆放在一起，从事危险废物贮存的单位，必须得到有资质单位出具的该危险废物样品物理和化学性质的分析报告，认定可以贮存后方可接受</w:t>
                  </w:r>
                </w:p>
              </w:tc>
              <w:tc>
                <w:tcPr>
                  <w:tcW w:w="2843" w:type="dxa"/>
                  <w:vMerge w:val="continue"/>
                  <w:vAlign w:val="center"/>
                </w:tcPr>
                <w:p>
                  <w:pPr>
                    <w:rPr>
                      <w:szCs w:val="21"/>
                    </w:rPr>
                  </w:pP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2"/>
                    <w:rPr>
                      <w:szCs w:val="21"/>
                    </w:rPr>
                  </w:pPr>
                </w:p>
                <w:p>
                  <w:pPr>
                    <w:rPr>
                      <w:szCs w:val="21"/>
                    </w:rPr>
                  </w:pPr>
                </w:p>
                <w:p>
                  <w:pPr>
                    <w:jc w:val="center"/>
                    <w:rPr>
                      <w:szCs w:val="21"/>
                    </w:rPr>
                  </w:pPr>
                  <w:r>
                    <w:rPr>
                      <w:szCs w:val="21"/>
                    </w:rPr>
                    <w:t>运行</w:t>
                  </w:r>
                </w:p>
                <w:p>
                  <w:pPr>
                    <w:snapToGrid w:val="0"/>
                    <w:spacing w:line="360" w:lineRule="auto"/>
                    <w:jc w:val="center"/>
                    <w:rPr>
                      <w:rFonts w:ascii="宋体" w:hAnsi="宋体"/>
                      <w:b/>
                      <w:sz w:val="24"/>
                    </w:rPr>
                  </w:pPr>
                  <w:r>
                    <w:rPr>
                      <w:szCs w:val="21"/>
                    </w:rPr>
                    <w:t>与管理</w:t>
                  </w:r>
                </w:p>
              </w:tc>
              <w:tc>
                <w:tcPr>
                  <w:tcW w:w="3086" w:type="dxa"/>
                  <w:vAlign w:val="center"/>
                </w:tcPr>
                <w:p>
                  <w:pPr>
                    <w:rPr>
                      <w:szCs w:val="21"/>
                    </w:rPr>
                  </w:pPr>
                  <w:r>
                    <w:rPr>
                      <w:szCs w:val="21"/>
                    </w:rPr>
                    <w:t>危险废物贮存前应进行检验，确保同预定接收的危险废物一致，并登记注册</w:t>
                  </w:r>
                </w:p>
              </w:tc>
              <w:tc>
                <w:tcPr>
                  <w:tcW w:w="2843" w:type="dxa"/>
                  <w:vAlign w:val="center"/>
                </w:tcPr>
                <w:p>
                  <w:pPr>
                    <w:rPr>
                      <w:szCs w:val="21"/>
                    </w:rPr>
                  </w:pPr>
                  <w:r>
                    <w:rPr>
                      <w:szCs w:val="21"/>
                    </w:rPr>
                    <w:t>本项目仅收集、贮存废机油，进场</w:t>
                  </w:r>
                  <w:r>
                    <w:rPr>
                      <w:rFonts w:hint="eastAsia"/>
                      <w:szCs w:val="21"/>
                    </w:rPr>
                    <w:t>前外委</w:t>
                  </w:r>
                  <w:r>
                    <w:rPr>
                      <w:szCs w:val="21"/>
                    </w:rPr>
                    <w:t>检验，</w:t>
                  </w:r>
                  <w:r>
                    <w:rPr>
                      <w:rFonts w:hint="eastAsia"/>
                      <w:szCs w:val="21"/>
                    </w:rPr>
                    <w:t>不在</w:t>
                  </w:r>
                  <w:r>
                    <w:rPr>
                      <w:szCs w:val="21"/>
                    </w:rPr>
                    <w:t>厂区内</w:t>
                  </w:r>
                  <w:r>
                    <w:rPr>
                      <w:rFonts w:hint="default" w:asciiTheme="minorAscii" w:hAnsiTheme="minorAscii" w:eastAsiaTheme="minorEastAsia"/>
                      <w:spacing w:val="-6"/>
                      <w:sz w:val="21"/>
                      <w:szCs w:val="21"/>
                    </w:rPr>
                    <w:t>进行检验，在厂区内登记注册</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不得接收未粘贴标签或标签未按规定填写的危险废物</w:t>
                  </w:r>
                </w:p>
              </w:tc>
              <w:tc>
                <w:tcPr>
                  <w:tcW w:w="2843" w:type="dxa"/>
                  <w:vAlign w:val="center"/>
                </w:tcPr>
                <w:p>
                  <w:pPr>
                    <w:rPr>
                      <w:szCs w:val="21"/>
                    </w:rPr>
                  </w:pPr>
                  <w:r>
                    <w:rPr>
                      <w:szCs w:val="21"/>
                    </w:rPr>
                    <w:t>本项目不接受未粘贴标签或标签未按规定填写的危险废物</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每个堆间应留有搬运通道</w:t>
                  </w:r>
                </w:p>
              </w:tc>
              <w:tc>
                <w:tcPr>
                  <w:tcW w:w="2843" w:type="dxa"/>
                  <w:vAlign w:val="center"/>
                </w:tcPr>
                <w:p>
                  <w:pPr>
                    <w:rPr>
                      <w:szCs w:val="21"/>
                    </w:rPr>
                  </w:pPr>
                  <w:r>
                    <w:rPr>
                      <w:rFonts w:hint="eastAsia"/>
                      <w:szCs w:val="21"/>
                    </w:rPr>
                    <w:t>本项目不涉及。</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不得将不相容的废物混合或合并存放</w:t>
                  </w:r>
                </w:p>
              </w:tc>
              <w:tc>
                <w:tcPr>
                  <w:tcW w:w="2843" w:type="dxa"/>
                  <w:vAlign w:val="center"/>
                </w:tcPr>
                <w:p>
                  <w:pPr>
                    <w:rPr>
                      <w:rFonts w:hint="eastAsia" w:asciiTheme="minorHAnsi" w:hAnsiTheme="minorHAnsi" w:eastAsiaTheme="minorEastAsia" w:cstheme="minorBidi"/>
                      <w:kern w:val="2"/>
                      <w:sz w:val="21"/>
                      <w:szCs w:val="21"/>
                      <w:lang w:val="en-US" w:eastAsia="zh-CN" w:bidi="ar-SA"/>
                    </w:rPr>
                  </w:pPr>
                  <w:r>
                    <w:rPr>
                      <w:szCs w:val="21"/>
                    </w:rPr>
                    <w:t>本项目废机油采取储罐存，</w:t>
                  </w:r>
                  <w:r>
                    <w:rPr>
                      <w:rFonts w:hint="eastAsia"/>
                      <w:szCs w:val="21"/>
                    </w:rPr>
                    <w:t>储罐</w:t>
                  </w:r>
                  <w:r>
                    <w:rPr>
                      <w:szCs w:val="21"/>
                    </w:rPr>
                    <w:t>位于</w:t>
                  </w:r>
                  <w:r>
                    <w:rPr>
                      <w:rFonts w:hint="eastAsia"/>
                      <w:szCs w:val="21"/>
                    </w:rPr>
                    <w:t>危废间</w:t>
                  </w:r>
                  <w:r>
                    <w:rPr>
                      <w:szCs w:val="21"/>
                    </w:rPr>
                    <w:t>，</w:t>
                  </w:r>
                  <w:r>
                    <w:rPr>
                      <w:rFonts w:hint="eastAsia"/>
                      <w:szCs w:val="21"/>
                      <w:lang w:val="en-US" w:eastAsia="zh-CN"/>
                    </w:rPr>
                    <w:t>废机油与其它危险废物</w:t>
                  </w:r>
                  <w:r>
                    <w:rPr>
                      <w:rFonts w:hint="eastAsia"/>
                      <w:szCs w:val="21"/>
                      <w:lang w:eastAsia="zh-CN"/>
                    </w:rPr>
                    <w:t>采取</w:t>
                  </w:r>
                  <w:r>
                    <w:rPr>
                      <w:rFonts w:hint="default"/>
                      <w:szCs w:val="21"/>
                      <w:lang w:eastAsia="zh-CN"/>
                    </w:rPr>
                    <w:t>分区间隔存放</w:t>
                  </w:r>
                  <w:r>
                    <w:rPr>
                      <w:rFonts w:hint="eastAsia"/>
                      <w:szCs w:val="21"/>
                      <w:lang w:eastAsia="zh-CN"/>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危险废物产生者和危险废物贮存设施经营者均须</w:t>
                  </w:r>
                  <w:r>
                    <w:rPr>
                      <w:rFonts w:hint="eastAsia"/>
                      <w:szCs w:val="21"/>
                    </w:rPr>
                    <w:t>做好</w:t>
                  </w:r>
                  <w:r>
                    <w:rPr>
                      <w:szCs w:val="21"/>
                    </w:rPr>
                    <w:t>危险废物情况的记录，记录上须注明危险废物的名称、来源、数量、特性和包装容器的类别、入库日期</w:t>
                  </w:r>
                </w:p>
              </w:tc>
              <w:tc>
                <w:tcPr>
                  <w:tcW w:w="2843" w:type="dxa"/>
                  <w:vAlign w:val="center"/>
                </w:tcPr>
                <w:p>
                  <w:pPr>
                    <w:rPr>
                      <w:szCs w:val="21"/>
                    </w:rPr>
                  </w:pPr>
                  <w:r>
                    <w:rPr>
                      <w:szCs w:val="21"/>
                    </w:rPr>
                    <w:t>公司</w:t>
                  </w:r>
                  <w:r>
                    <w:rPr>
                      <w:rFonts w:hint="eastAsia"/>
                      <w:szCs w:val="21"/>
                    </w:rPr>
                    <w:t>台账应</w:t>
                  </w:r>
                  <w:r>
                    <w:rPr>
                      <w:szCs w:val="21"/>
                    </w:rPr>
                    <w:t>明确记录废机油来源、数量、特性和包装容器的类别、入库日期</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必须定期对所贮存的危险废物包装容器及贮存设施进行检查、发现破损，应及时采取措施清理</w:t>
                  </w:r>
                </w:p>
              </w:tc>
              <w:tc>
                <w:tcPr>
                  <w:tcW w:w="2843" w:type="dxa"/>
                  <w:vAlign w:val="center"/>
                </w:tcPr>
                <w:p>
                  <w:pPr>
                    <w:rPr>
                      <w:szCs w:val="21"/>
                    </w:rPr>
                  </w:pPr>
                  <w:r>
                    <w:rPr>
                      <w:szCs w:val="21"/>
                    </w:rPr>
                    <w:t>公司环保、安全领导小组成员将定期对贮存设施进行检查，发现破损，应及时采取措施清理</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snapToGrid w:val="0"/>
                    <w:spacing w:line="360" w:lineRule="auto"/>
                    <w:rPr>
                      <w:rFonts w:ascii="宋体" w:hAnsi="宋体"/>
                      <w:b/>
                      <w:sz w:val="24"/>
                    </w:rPr>
                  </w:pPr>
                </w:p>
              </w:tc>
              <w:tc>
                <w:tcPr>
                  <w:tcW w:w="3086" w:type="dxa"/>
                  <w:vAlign w:val="center"/>
                </w:tcPr>
                <w:p>
                  <w:pPr>
                    <w:rPr>
                      <w:szCs w:val="21"/>
                    </w:rPr>
                  </w:pPr>
                  <w:r>
                    <w:rPr>
                      <w:szCs w:val="21"/>
                    </w:rPr>
                    <w:t>危险废物贮存设施必须按规定设置警示标志</w:t>
                  </w:r>
                </w:p>
              </w:tc>
              <w:tc>
                <w:tcPr>
                  <w:tcW w:w="2843" w:type="dxa"/>
                  <w:vAlign w:val="center"/>
                </w:tcPr>
                <w:p>
                  <w:pPr>
                    <w:rPr>
                      <w:szCs w:val="21"/>
                    </w:rPr>
                  </w:pPr>
                  <w:r>
                    <w:rPr>
                      <w:szCs w:val="21"/>
                    </w:rPr>
                    <w:t>公司将按照要求设置警示标志</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tcBorders>
                  <w:vAlign w:val="center"/>
                </w:tcPr>
                <w:p>
                  <w:pPr>
                    <w:jc w:val="center"/>
                    <w:rPr>
                      <w:rFonts w:ascii="宋体" w:hAnsi="宋体"/>
                      <w:b/>
                      <w:sz w:val="24"/>
                    </w:rPr>
                  </w:pPr>
                  <w:r>
                    <w:rPr>
                      <w:szCs w:val="21"/>
                    </w:rPr>
                    <w:t>安全防护与监测</w:t>
                  </w:r>
                </w:p>
              </w:tc>
              <w:tc>
                <w:tcPr>
                  <w:tcW w:w="3086" w:type="dxa"/>
                  <w:vAlign w:val="center"/>
                </w:tcPr>
                <w:p>
                  <w:pPr>
                    <w:rPr>
                      <w:szCs w:val="21"/>
                    </w:rPr>
                  </w:pPr>
                  <w:r>
                    <w:rPr>
                      <w:szCs w:val="21"/>
                    </w:rPr>
                    <w:t>危险废物贮存设施周围应设置围墙或其他防护栅栏</w:t>
                  </w:r>
                </w:p>
              </w:tc>
              <w:tc>
                <w:tcPr>
                  <w:tcW w:w="2843" w:type="dxa"/>
                  <w:vAlign w:val="center"/>
                </w:tcPr>
                <w:p>
                  <w:pPr>
                    <w:rPr>
                      <w:szCs w:val="21"/>
                    </w:rPr>
                  </w:pPr>
                  <w:r>
                    <w:rPr>
                      <w:rFonts w:hint="eastAsia"/>
                      <w:szCs w:val="21"/>
                    </w:rPr>
                    <w:t>本项目储罐位于室内。</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rPr>
                      <w:rFonts w:ascii="宋体" w:hAnsi="宋体"/>
                      <w:b/>
                      <w:sz w:val="24"/>
                    </w:rPr>
                  </w:pPr>
                </w:p>
              </w:tc>
              <w:tc>
                <w:tcPr>
                  <w:tcW w:w="3086" w:type="dxa"/>
                  <w:vAlign w:val="center"/>
                </w:tcPr>
                <w:p>
                  <w:pPr>
                    <w:rPr>
                      <w:szCs w:val="21"/>
                    </w:rPr>
                  </w:pPr>
                  <w:r>
                    <w:rPr>
                      <w:szCs w:val="21"/>
                    </w:rPr>
                    <w:t>危险废物贮存设施应</w:t>
                  </w:r>
                  <w:r>
                    <w:rPr>
                      <w:rFonts w:hint="eastAsia"/>
                      <w:szCs w:val="21"/>
                    </w:rPr>
                    <w:t>配备通信</w:t>
                  </w:r>
                  <w:r>
                    <w:rPr>
                      <w:szCs w:val="21"/>
                    </w:rPr>
                    <w:t>设施、照明设施、安全防护服装及工具，并设有应急防护措施</w:t>
                  </w:r>
                </w:p>
              </w:tc>
              <w:tc>
                <w:tcPr>
                  <w:tcW w:w="2843" w:type="dxa"/>
                  <w:vAlign w:val="center"/>
                </w:tcPr>
                <w:p>
                  <w:pPr>
                    <w:rPr>
                      <w:szCs w:val="21"/>
                    </w:rPr>
                  </w:pPr>
                  <w:r>
                    <w:rPr>
                      <w:szCs w:val="21"/>
                    </w:rPr>
                    <w:t>公司将配备通讯设备、照明设施、安全防护服装及工具，并有应急防护设施</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left w:val="nil"/>
                  </w:tcBorders>
                </w:tcPr>
                <w:p>
                  <w:pPr>
                    <w:rPr>
                      <w:rFonts w:ascii="宋体" w:hAnsi="宋体"/>
                      <w:b/>
                      <w:sz w:val="24"/>
                    </w:rPr>
                  </w:pPr>
                </w:p>
              </w:tc>
              <w:tc>
                <w:tcPr>
                  <w:tcW w:w="3086" w:type="dxa"/>
                  <w:vAlign w:val="center"/>
                </w:tcPr>
                <w:p>
                  <w:pPr>
                    <w:rPr>
                      <w:szCs w:val="21"/>
                    </w:rPr>
                  </w:pPr>
                  <w:r>
                    <w:rPr>
                      <w:szCs w:val="21"/>
                    </w:rPr>
                    <w:t>按国家污染物管理要求对危险废物贮存设施进行监测</w:t>
                  </w:r>
                </w:p>
              </w:tc>
              <w:tc>
                <w:tcPr>
                  <w:tcW w:w="2843" w:type="dxa"/>
                  <w:vAlign w:val="center"/>
                </w:tcPr>
                <w:p>
                  <w:pPr>
                    <w:jc w:val="center"/>
                    <w:rPr>
                      <w:szCs w:val="21"/>
                    </w:rPr>
                  </w:pPr>
                  <w:r>
                    <w:rPr>
                      <w:szCs w:val="21"/>
                    </w:rPr>
                    <w:t>定期对</w:t>
                  </w:r>
                  <w:r>
                    <w:rPr>
                      <w:rFonts w:hint="eastAsia"/>
                      <w:szCs w:val="21"/>
                    </w:rPr>
                    <w:t>储存设施</w:t>
                  </w:r>
                  <w:r>
                    <w:rPr>
                      <w:szCs w:val="21"/>
                    </w:rPr>
                    <w:t>进行监测</w:t>
                  </w:r>
                  <w:r>
                    <w:rPr>
                      <w:rFonts w:hint="eastAsia"/>
                      <w:szCs w:val="21"/>
                    </w:rPr>
                    <w:t>。</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restart"/>
                  <w:tcBorders>
                    <w:left w:val="nil"/>
                    <w:bottom w:val="single" w:color="auto" w:sz="12" w:space="0"/>
                  </w:tcBorders>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rFonts w:ascii="宋体" w:hAnsi="宋体"/>
                      <w:b/>
                      <w:sz w:val="24"/>
                    </w:rPr>
                  </w:pPr>
                  <w:r>
                    <w:rPr>
                      <w:rFonts w:hint="eastAsia"/>
                      <w:szCs w:val="21"/>
                    </w:rPr>
                    <w:t>危险废物贮存设施的关闭</w:t>
                  </w:r>
                </w:p>
              </w:tc>
              <w:tc>
                <w:tcPr>
                  <w:tcW w:w="3086" w:type="dxa"/>
                  <w:vAlign w:val="center"/>
                </w:tcPr>
                <w:p>
                  <w:pPr>
                    <w:rPr>
                      <w:szCs w:val="21"/>
                    </w:rPr>
                  </w:pPr>
                  <w:r>
                    <w:rPr>
                      <w:rFonts w:hint="eastAsia"/>
                      <w:szCs w:val="21"/>
                    </w:rPr>
                    <w:t>危险废物贮存设施经营者在关闭贮存设施前应提交关闭计划书，经批准后方可执行。</w:t>
                  </w:r>
                </w:p>
              </w:tc>
              <w:tc>
                <w:tcPr>
                  <w:tcW w:w="2843" w:type="dxa"/>
                  <w:vAlign w:val="center"/>
                </w:tcPr>
                <w:p>
                  <w:pPr>
                    <w:rPr>
                      <w:szCs w:val="21"/>
                    </w:rPr>
                  </w:pPr>
                  <w:r>
                    <w:rPr>
                      <w:rFonts w:hint="eastAsia"/>
                      <w:szCs w:val="21"/>
                    </w:rPr>
                    <w:t>本单位在关闭贮存设施前应提交关闭计划书，经批准后方可执行。</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top w:val="single" w:color="auto" w:sz="12" w:space="0"/>
                    <w:left w:val="nil"/>
                    <w:bottom w:val="single" w:color="auto" w:sz="12" w:space="0"/>
                  </w:tcBorders>
                </w:tcPr>
                <w:p>
                  <w:pPr>
                    <w:snapToGrid w:val="0"/>
                    <w:spacing w:line="360" w:lineRule="auto"/>
                    <w:rPr>
                      <w:rFonts w:ascii="宋体" w:hAnsi="宋体"/>
                      <w:b/>
                      <w:sz w:val="24"/>
                    </w:rPr>
                  </w:pPr>
                </w:p>
              </w:tc>
              <w:tc>
                <w:tcPr>
                  <w:tcW w:w="3086" w:type="dxa"/>
                  <w:vAlign w:val="center"/>
                </w:tcPr>
                <w:p>
                  <w:pPr>
                    <w:rPr>
                      <w:szCs w:val="21"/>
                    </w:rPr>
                  </w:pPr>
                  <w:r>
                    <w:rPr>
                      <w:rFonts w:hint="eastAsia"/>
                      <w:szCs w:val="21"/>
                    </w:rPr>
                    <w:t>危险废物贮存设施经营者必须采取措施消除污染。</w:t>
                  </w:r>
                </w:p>
              </w:tc>
              <w:tc>
                <w:tcPr>
                  <w:tcW w:w="2843" w:type="dxa"/>
                  <w:vAlign w:val="center"/>
                </w:tcPr>
                <w:p>
                  <w:pPr>
                    <w:rPr>
                      <w:szCs w:val="21"/>
                    </w:rPr>
                  </w:pPr>
                  <w:r>
                    <w:rPr>
                      <w:rFonts w:hint="eastAsia"/>
                      <w:szCs w:val="21"/>
                    </w:rPr>
                    <w:t>本单位必须采取措施相应消除现有污染</w:t>
                  </w:r>
                </w:p>
              </w:tc>
              <w:tc>
                <w:tcPr>
                  <w:tcW w:w="947" w:type="dxa"/>
                  <w:tcBorders>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top w:val="single" w:color="auto" w:sz="12" w:space="0"/>
                    <w:left w:val="nil"/>
                    <w:bottom w:val="single" w:color="auto" w:sz="12" w:space="0"/>
                  </w:tcBorders>
                </w:tcPr>
                <w:p>
                  <w:pPr>
                    <w:snapToGrid w:val="0"/>
                    <w:spacing w:line="360" w:lineRule="auto"/>
                    <w:rPr>
                      <w:rFonts w:ascii="宋体" w:hAnsi="宋体"/>
                      <w:b/>
                      <w:sz w:val="24"/>
                    </w:rPr>
                  </w:pPr>
                </w:p>
              </w:tc>
              <w:tc>
                <w:tcPr>
                  <w:tcW w:w="3086" w:type="dxa"/>
                  <w:tcBorders>
                    <w:bottom w:val="single" w:color="auto" w:sz="6" w:space="0"/>
                  </w:tcBorders>
                  <w:vAlign w:val="center"/>
                </w:tcPr>
                <w:p>
                  <w:pPr>
                    <w:rPr>
                      <w:szCs w:val="21"/>
                    </w:rPr>
                  </w:pPr>
                  <w:r>
                    <w:rPr>
                      <w:rFonts w:hint="eastAsia"/>
                      <w:szCs w:val="21"/>
                    </w:rPr>
                    <w:t>无法消除污染的设备、土壤、墙体等按危险废物处理，并运至正在营运的危险废物处理处置场或其他贮存设施中。</w:t>
                  </w:r>
                </w:p>
              </w:tc>
              <w:tc>
                <w:tcPr>
                  <w:tcW w:w="2843" w:type="dxa"/>
                  <w:tcBorders>
                    <w:bottom w:val="single" w:color="auto" w:sz="6" w:space="0"/>
                  </w:tcBorders>
                  <w:vAlign w:val="center"/>
                </w:tcPr>
                <w:p>
                  <w:pPr>
                    <w:rPr>
                      <w:szCs w:val="21"/>
                    </w:rPr>
                  </w:pPr>
                  <w:r>
                    <w:rPr>
                      <w:rFonts w:hint="eastAsia"/>
                      <w:szCs w:val="21"/>
                    </w:rPr>
                    <w:t>本单位无法消除污染的设备、土壤、墙体等按危险废物处理，并运至正在营运的危险废物处理处置场或其他贮存设施中</w:t>
                  </w:r>
                </w:p>
              </w:tc>
              <w:tc>
                <w:tcPr>
                  <w:tcW w:w="947" w:type="dxa"/>
                  <w:tcBorders>
                    <w:bottom w:val="single" w:color="auto" w:sz="6" w:space="0"/>
                    <w:right w:val="nil"/>
                  </w:tcBorders>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vMerge w:val="continue"/>
                  <w:tcBorders>
                    <w:top w:val="single" w:color="auto" w:sz="12" w:space="0"/>
                    <w:left w:val="nil"/>
                    <w:bottom w:val="single" w:color="auto" w:sz="12" w:space="0"/>
                  </w:tcBorders>
                </w:tcPr>
                <w:p>
                  <w:pPr>
                    <w:snapToGrid w:val="0"/>
                    <w:spacing w:line="360" w:lineRule="auto"/>
                    <w:rPr>
                      <w:rFonts w:ascii="宋体" w:hAnsi="宋体"/>
                      <w:b/>
                      <w:sz w:val="24"/>
                    </w:rPr>
                  </w:pPr>
                </w:p>
              </w:tc>
              <w:tc>
                <w:tcPr>
                  <w:tcW w:w="3086" w:type="dxa"/>
                  <w:tcBorders>
                    <w:top w:val="single" w:color="auto" w:sz="6" w:space="0"/>
                    <w:bottom w:val="single" w:color="auto" w:sz="12" w:space="0"/>
                  </w:tcBorders>
                  <w:vAlign w:val="center"/>
                </w:tcPr>
                <w:p>
                  <w:pPr>
                    <w:rPr>
                      <w:szCs w:val="21"/>
                    </w:rPr>
                  </w:pPr>
                  <w:r>
                    <w:rPr>
                      <w:rFonts w:hint="eastAsia"/>
                      <w:szCs w:val="21"/>
                    </w:rPr>
                    <w:t>监测部门的监测结果表明已不存在污染时，方可摘下警示标志，撤离留守人员。</w:t>
                  </w:r>
                </w:p>
              </w:tc>
              <w:tc>
                <w:tcPr>
                  <w:tcW w:w="2843" w:type="dxa"/>
                  <w:tcBorders>
                    <w:top w:val="single" w:color="auto" w:sz="6" w:space="0"/>
                    <w:bottom w:val="single" w:color="auto" w:sz="12" w:space="0"/>
                  </w:tcBorders>
                  <w:vAlign w:val="center"/>
                </w:tcPr>
                <w:p>
                  <w:pPr>
                    <w:rPr>
                      <w:szCs w:val="21"/>
                    </w:rPr>
                  </w:pPr>
                  <w:r>
                    <w:rPr>
                      <w:rFonts w:hint="eastAsia"/>
                      <w:szCs w:val="21"/>
                    </w:rPr>
                    <w:t>厂区监测结果表明已不存在污染时，方可摘下警示标志，撤离留守人员</w:t>
                  </w:r>
                </w:p>
              </w:tc>
              <w:tc>
                <w:tcPr>
                  <w:tcW w:w="947" w:type="dxa"/>
                  <w:tcBorders>
                    <w:top w:val="single" w:color="auto" w:sz="6" w:space="0"/>
                    <w:bottom w:val="single" w:color="auto" w:sz="12" w:space="0"/>
                    <w:right w:val="nil"/>
                  </w:tcBorders>
                </w:tcPr>
                <w:p>
                  <w:pPr>
                    <w:jc w:val="center"/>
                    <w:rPr>
                      <w:szCs w:val="21"/>
                    </w:rPr>
                  </w:pPr>
                </w:p>
                <w:p>
                  <w:pPr>
                    <w:jc w:val="center"/>
                    <w:rPr>
                      <w:szCs w:val="21"/>
                    </w:rPr>
                  </w:pPr>
                  <w:r>
                    <w:rPr>
                      <w:szCs w:val="21"/>
                    </w:rPr>
                    <w:t>符合</w:t>
                  </w:r>
                </w:p>
              </w:tc>
            </w:tr>
          </w:tbl>
          <w:p>
            <w:pPr>
              <w:pStyle w:val="33"/>
              <w:numPr>
                <w:ilvl w:val="0"/>
                <w:numId w:val="0"/>
              </w:numPr>
            </w:pPr>
          </w:p>
          <w:p>
            <w:pPr>
              <w:pStyle w:val="33"/>
              <w:numPr>
                <w:ilvl w:val="0"/>
                <w:numId w:val="0"/>
              </w:numPr>
              <w:rPr>
                <w:rFonts w:hint="eastAsia"/>
              </w:rPr>
            </w:pPr>
          </w:p>
          <w:p>
            <w:pPr>
              <w:pStyle w:val="33"/>
              <w:numPr>
                <w:ilvl w:val="0"/>
                <w:numId w:val="0"/>
              </w:numPr>
              <w:spacing w:line="360" w:lineRule="auto"/>
            </w:pPr>
            <w:r>
              <w:rPr>
                <w:rFonts w:hint="eastAsia"/>
              </w:rPr>
              <w:t>表</w:t>
            </w:r>
            <w:r>
              <w:rPr>
                <w:rFonts w:hint="eastAsia"/>
                <w:lang w:val="en-US" w:eastAsia="zh-CN"/>
              </w:rPr>
              <w:t>6</w:t>
            </w:r>
            <w:r>
              <w:rPr>
                <w:rFonts w:hint="eastAsia"/>
              </w:rPr>
              <w:t xml:space="preserve">  </w:t>
            </w:r>
            <w:r>
              <w:t>本项目与《危险废物污染防治技术政策》</w:t>
            </w:r>
            <w:r>
              <w:rPr>
                <w:rFonts w:hint="default"/>
                <w:lang w:val="en-US"/>
              </w:rPr>
              <w:t>(</w:t>
            </w:r>
            <w:r>
              <w:t>环发</w:t>
            </w:r>
            <w:r>
              <w:rPr>
                <w:rFonts w:hint="eastAsia"/>
              </w:rPr>
              <w:t>〔</w:t>
            </w:r>
            <w:r>
              <w:t>2001</w:t>
            </w:r>
            <w:r>
              <w:rPr>
                <w:rFonts w:hint="eastAsia"/>
              </w:rPr>
              <w:t>〕</w:t>
            </w:r>
            <w:r>
              <w:t>199号</w:t>
            </w:r>
            <w:r>
              <w:rPr>
                <w:rFonts w:hint="eastAsia"/>
              </w:rPr>
              <w:t>）</w:t>
            </w:r>
            <w:r>
              <w:t>的符合性对照表</w:t>
            </w:r>
          </w:p>
          <w:tbl>
            <w:tblPr>
              <w:tblStyle w:val="26"/>
              <w:tblW w:w="8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54"/>
              <w:gridCol w:w="308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tcBorders>
                    <w:top w:val="single" w:color="auto" w:sz="12" w:space="0"/>
                  </w:tcBorders>
                </w:tcPr>
                <w:p>
                  <w:pPr>
                    <w:widowControl/>
                    <w:tabs>
                      <w:tab w:val="left" w:pos="0"/>
                    </w:tabs>
                    <w:overflowPunct w:val="0"/>
                    <w:topLinePunct/>
                    <w:autoSpaceDE w:val="0"/>
                    <w:adjustRightInd w:val="0"/>
                    <w:snapToGrid w:val="0"/>
                    <w:jc w:val="center"/>
                    <w:textAlignment w:val="baseline"/>
                    <w:rPr>
                      <w:rFonts w:ascii="宋体" w:hAnsi="宋体"/>
                      <w:b/>
                      <w:sz w:val="24"/>
                    </w:rPr>
                  </w:pPr>
                  <w:r>
                    <w:rPr>
                      <w:b/>
                      <w:bCs/>
                      <w:szCs w:val="21"/>
                    </w:rPr>
                    <w:t>项目</w:t>
                  </w:r>
                </w:p>
              </w:tc>
              <w:tc>
                <w:tcPr>
                  <w:tcW w:w="3154" w:type="dxa"/>
                  <w:tcBorders>
                    <w:top w:val="single" w:color="auto" w:sz="12" w:space="0"/>
                  </w:tcBorders>
                </w:tcPr>
                <w:p>
                  <w:pPr>
                    <w:widowControl/>
                    <w:tabs>
                      <w:tab w:val="left" w:pos="0"/>
                    </w:tabs>
                    <w:overflowPunct w:val="0"/>
                    <w:topLinePunct/>
                    <w:autoSpaceDE w:val="0"/>
                    <w:adjustRightInd w:val="0"/>
                    <w:snapToGrid w:val="0"/>
                    <w:jc w:val="center"/>
                    <w:textAlignment w:val="baseline"/>
                    <w:rPr>
                      <w:rFonts w:ascii="宋体" w:hAnsi="宋体"/>
                      <w:b/>
                      <w:sz w:val="24"/>
                    </w:rPr>
                  </w:pPr>
                  <w:r>
                    <w:rPr>
                      <w:b/>
                      <w:bCs/>
                      <w:szCs w:val="21"/>
                    </w:rPr>
                    <w:t>规范要求</w:t>
                  </w:r>
                </w:p>
              </w:tc>
              <w:tc>
                <w:tcPr>
                  <w:tcW w:w="3089" w:type="dxa"/>
                  <w:tcBorders>
                    <w:top w:val="single" w:color="auto" w:sz="12" w:space="0"/>
                  </w:tcBorders>
                </w:tcPr>
                <w:p>
                  <w:pPr>
                    <w:widowControl/>
                    <w:tabs>
                      <w:tab w:val="left" w:pos="0"/>
                    </w:tabs>
                    <w:overflowPunct w:val="0"/>
                    <w:topLinePunct/>
                    <w:autoSpaceDE w:val="0"/>
                    <w:adjustRightInd w:val="0"/>
                    <w:snapToGrid w:val="0"/>
                    <w:jc w:val="center"/>
                    <w:textAlignment w:val="baseline"/>
                    <w:rPr>
                      <w:rFonts w:ascii="宋体" w:hAnsi="宋体"/>
                      <w:b/>
                      <w:sz w:val="24"/>
                    </w:rPr>
                  </w:pPr>
                  <w:r>
                    <w:rPr>
                      <w:b/>
                      <w:bCs/>
                      <w:szCs w:val="21"/>
                    </w:rPr>
                    <w:t>本项目</w:t>
                  </w:r>
                </w:p>
              </w:tc>
              <w:tc>
                <w:tcPr>
                  <w:tcW w:w="933" w:type="dxa"/>
                  <w:tcBorders>
                    <w:top w:val="single" w:color="auto" w:sz="12" w:space="0"/>
                    <w:right w:val="nil"/>
                  </w:tcBorders>
                </w:tcPr>
                <w:p>
                  <w:pPr>
                    <w:widowControl/>
                    <w:tabs>
                      <w:tab w:val="left" w:pos="0"/>
                    </w:tabs>
                    <w:overflowPunct w:val="0"/>
                    <w:topLinePunct/>
                    <w:autoSpaceDE w:val="0"/>
                    <w:adjustRightInd w:val="0"/>
                    <w:snapToGrid w:val="0"/>
                    <w:jc w:val="center"/>
                    <w:textAlignment w:val="baseline"/>
                    <w:rPr>
                      <w:rFonts w:ascii="宋体" w:hAnsi="宋体"/>
                      <w:b/>
                      <w:sz w:val="24"/>
                    </w:rPr>
                  </w:pPr>
                  <w:r>
                    <w:rPr>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restart"/>
                  <w:tcBorders>
                    <w:left w:val="nil"/>
                  </w:tcBorders>
                </w:tcPr>
                <w:p>
                  <w:pPr>
                    <w:snapToGrid w:val="0"/>
                    <w:spacing w:line="360" w:lineRule="auto"/>
                    <w:rPr>
                      <w:szCs w:val="21"/>
                    </w:rPr>
                  </w:pPr>
                </w:p>
                <w:p>
                  <w:pPr>
                    <w:snapToGrid w:val="0"/>
                    <w:spacing w:line="360" w:lineRule="auto"/>
                    <w:rPr>
                      <w:szCs w:val="21"/>
                    </w:rPr>
                  </w:pPr>
                </w:p>
                <w:p>
                  <w:pPr>
                    <w:snapToGrid w:val="0"/>
                    <w:spacing w:line="360" w:lineRule="auto"/>
                    <w:jc w:val="center"/>
                    <w:rPr>
                      <w:szCs w:val="21"/>
                    </w:rPr>
                  </w:pPr>
                  <w:r>
                    <w:rPr>
                      <w:szCs w:val="21"/>
                    </w:rPr>
                    <w:t>危险</w:t>
                  </w:r>
                </w:p>
                <w:p>
                  <w:pPr>
                    <w:snapToGrid w:val="0"/>
                    <w:spacing w:line="360" w:lineRule="auto"/>
                    <w:jc w:val="center"/>
                    <w:rPr>
                      <w:szCs w:val="21"/>
                    </w:rPr>
                  </w:pPr>
                  <w:r>
                    <w:rPr>
                      <w:szCs w:val="21"/>
                    </w:rPr>
                    <w:t>废物的</w:t>
                  </w:r>
                </w:p>
                <w:p>
                  <w:pPr>
                    <w:snapToGrid w:val="0"/>
                    <w:spacing w:line="360" w:lineRule="auto"/>
                    <w:jc w:val="center"/>
                    <w:rPr>
                      <w:rFonts w:ascii="宋体" w:hAnsi="宋体"/>
                      <w:b/>
                      <w:sz w:val="24"/>
                    </w:rPr>
                  </w:pPr>
                  <w:r>
                    <w:rPr>
                      <w:szCs w:val="21"/>
                    </w:rPr>
                    <w:t>收集</w:t>
                  </w: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危险废物要根据其成分，用符合国家标准的专门容器分类收集</w:t>
                  </w:r>
                </w:p>
              </w:tc>
              <w:tc>
                <w:tcPr>
                  <w:tcW w:w="3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kern w:val="2"/>
                      <w:sz w:val="21"/>
                      <w:szCs w:val="21"/>
                      <w:lang w:val="en-US" w:eastAsia="zh-CN" w:bidi="ar-SA"/>
                    </w:rPr>
                  </w:pPr>
                  <w:r>
                    <w:rPr>
                      <w:szCs w:val="21"/>
                    </w:rPr>
                    <w:t>本项目废机油采</w:t>
                  </w:r>
                  <w:r>
                    <w:rPr>
                      <w:rFonts w:hint="eastAsia"/>
                      <w:szCs w:val="21"/>
                      <w:lang w:eastAsia="zh-CN"/>
                    </w:rPr>
                    <w:t>用</w:t>
                  </w:r>
                  <w:r>
                    <w:rPr>
                      <w:szCs w:val="21"/>
                    </w:rPr>
                    <w:t>储罐存</w:t>
                  </w:r>
                  <w:r>
                    <w:rPr>
                      <w:rFonts w:hint="eastAsia"/>
                      <w:szCs w:val="21"/>
                      <w:lang w:eastAsia="zh-CN"/>
                    </w:rPr>
                    <w:t>储</w:t>
                  </w:r>
                  <w:r>
                    <w:rPr>
                      <w:szCs w:val="21"/>
                    </w:rPr>
                    <w:t>，</w:t>
                  </w:r>
                  <w:r>
                    <w:rPr>
                      <w:rFonts w:hint="eastAsia"/>
                      <w:szCs w:val="21"/>
                    </w:rPr>
                    <w:t>储罐</w:t>
                  </w:r>
                  <w:r>
                    <w:rPr>
                      <w:szCs w:val="21"/>
                    </w:rPr>
                    <w:t>位于</w:t>
                  </w:r>
                  <w:r>
                    <w:rPr>
                      <w:rFonts w:hint="eastAsia"/>
                      <w:szCs w:val="21"/>
                    </w:rPr>
                    <w:t>危废间</w:t>
                  </w:r>
                  <w:r>
                    <w:rPr>
                      <w:szCs w:val="21"/>
                    </w:rPr>
                    <w:t>，</w:t>
                  </w:r>
                  <w:r>
                    <w:rPr>
                      <w:rFonts w:hint="eastAsia"/>
                      <w:szCs w:val="21"/>
                      <w:lang w:val="en-US" w:eastAsia="zh-CN"/>
                    </w:rPr>
                    <w:t>废机油与其它危险废物</w:t>
                  </w:r>
                  <w:r>
                    <w:rPr>
                      <w:rFonts w:hint="eastAsia"/>
                      <w:szCs w:val="21"/>
                      <w:lang w:eastAsia="zh-CN"/>
                    </w:rPr>
                    <w:t>采取</w:t>
                  </w:r>
                  <w:r>
                    <w:rPr>
                      <w:rFonts w:hint="default"/>
                      <w:szCs w:val="21"/>
                      <w:lang w:eastAsia="zh-CN"/>
                    </w:rPr>
                    <w:t>分区间隔存放</w:t>
                  </w:r>
                </w:p>
              </w:tc>
              <w:tc>
                <w:tcPr>
                  <w:tcW w:w="933" w:type="dxa"/>
                  <w:tcBorders>
                    <w:right w:val="nil"/>
                  </w:tcBorders>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szCs w:val="21"/>
                    </w:rPr>
                    <w:t>装运危险废物的容器应根据危险废物的不同特性而设计，不易破损、变形、老化，能有效地防止渗漏、扩散。装有危险废物的容器必须贴有标签，在标签上详</w:t>
                  </w:r>
                  <w:r>
                    <w:rPr>
                      <w:rFonts w:hint="default" w:asciiTheme="minorAscii" w:hAnsiTheme="minorAscii" w:eastAsiaTheme="minorEastAsia"/>
                      <w:spacing w:val="-6"/>
                      <w:sz w:val="21"/>
                      <w:szCs w:val="21"/>
                    </w:rPr>
                    <w:t>细标明危险废物的名称、重量、成分、特性以及发生泄漏、扩散污</w:t>
                  </w:r>
                  <w:r>
                    <w:rPr>
                      <w:szCs w:val="21"/>
                    </w:rPr>
                    <w:t>染事故时的应急措施和补救方法</w:t>
                  </w:r>
                </w:p>
              </w:tc>
              <w:tc>
                <w:tcPr>
                  <w:tcW w:w="3089" w:type="dxa"/>
                  <w:vMerge w:val="restart"/>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rFonts w:ascii="宋体" w:hAnsi="宋体"/>
                      <w:b/>
                      <w:sz w:val="24"/>
                    </w:rPr>
                  </w:pPr>
                  <w:r>
                    <w:rPr>
                      <w:szCs w:val="21"/>
                    </w:rPr>
                    <w:t>本项目委托有资质运输公司</w:t>
                  </w:r>
                  <w:r>
                    <w:rPr>
                      <w:rFonts w:hint="eastAsia"/>
                      <w:szCs w:val="21"/>
                    </w:rPr>
                    <w:t>进行运输，</w:t>
                  </w:r>
                  <w:r>
                    <w:rPr>
                      <w:szCs w:val="21"/>
                    </w:rPr>
                    <w:t>在存放区按照规范要求设置</w:t>
                  </w:r>
                  <w:r>
                    <w:rPr>
                      <w:rFonts w:hint="eastAsia"/>
                      <w:szCs w:val="21"/>
                    </w:rPr>
                    <w:t>围堤</w:t>
                  </w:r>
                  <w:r>
                    <w:rPr>
                      <w:szCs w:val="21"/>
                    </w:rPr>
                    <w:t>等应急措施</w:t>
                  </w:r>
                </w:p>
              </w:tc>
              <w:tc>
                <w:tcPr>
                  <w:tcW w:w="933" w:type="dxa"/>
                  <w:tcBorders>
                    <w:right w:val="nil"/>
                  </w:tcBorders>
                </w:tcPr>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szCs w:val="21"/>
                    </w:rPr>
                  </w:pPr>
                </w:p>
                <w:p>
                  <w:pPr>
                    <w:snapToGrid w:val="0"/>
                    <w:spacing w:line="360" w:lineRule="auto"/>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rFonts w:hint="eastAsia"/>
                      <w:szCs w:val="21"/>
                    </w:rPr>
                    <w:t>鼓励发展安全高效的危险废物运输系统，鼓励发展各种形式的专用车辆，对危险废物的运输要求安全可靠，要严格按照危险废物运输的管理规定进行危险废物的运输，减少运输过程中的二次污染和可能造成的环境风险。</w:t>
                  </w:r>
                </w:p>
              </w:tc>
              <w:tc>
                <w:tcPr>
                  <w:tcW w:w="3089" w:type="dxa"/>
                  <w:vMerge w:val="continue"/>
                </w:tcPr>
                <w:p>
                  <w:pPr>
                    <w:snapToGrid w:val="0"/>
                    <w:spacing w:line="360" w:lineRule="auto"/>
                    <w:rPr>
                      <w:rFonts w:ascii="宋体" w:hAnsi="宋体"/>
                      <w:b/>
                      <w:sz w:val="24"/>
                    </w:rPr>
                  </w:pPr>
                </w:p>
              </w:tc>
              <w:tc>
                <w:tcPr>
                  <w:tcW w:w="933" w:type="dxa"/>
                  <w:tcBorders>
                    <w:right w:val="nil"/>
                  </w:tcBorders>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rFonts w:hint="eastAsia"/>
                      <w:szCs w:val="21"/>
                    </w:rPr>
                    <w:t>鼓励成立专业化的危险废物运输公司对危险废物实行专业化运输，运输车辆需有特殊标志。</w:t>
                  </w:r>
                </w:p>
              </w:tc>
              <w:tc>
                <w:tcPr>
                  <w:tcW w:w="3089" w:type="dxa"/>
                  <w:vMerge w:val="continue"/>
                </w:tcPr>
                <w:p>
                  <w:pPr>
                    <w:snapToGrid w:val="0"/>
                    <w:spacing w:line="360" w:lineRule="auto"/>
                    <w:rPr>
                      <w:rFonts w:ascii="宋体" w:hAnsi="宋体"/>
                      <w:b/>
                      <w:sz w:val="24"/>
                    </w:rPr>
                  </w:pPr>
                </w:p>
              </w:tc>
              <w:tc>
                <w:tcPr>
                  <w:tcW w:w="933" w:type="dxa"/>
                  <w:tcBorders>
                    <w:right w:val="nil"/>
                  </w:tcBorders>
                </w:tcPr>
                <w:p>
                  <w:pPr>
                    <w:snapToGrid w:val="0"/>
                    <w:spacing w:line="360" w:lineRule="auto"/>
                    <w:jc w:val="center"/>
                    <w:rPr>
                      <w:szCs w:val="21"/>
                    </w:rPr>
                  </w:pPr>
                </w:p>
                <w:p>
                  <w:pPr>
                    <w:snapToGrid w:val="0"/>
                    <w:spacing w:line="360" w:lineRule="auto"/>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restart"/>
                  <w:tcBorders>
                    <w:left w:val="nil"/>
                  </w:tcBorders>
                </w:tcPr>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rFonts w:ascii="宋体" w:hAnsi="宋体"/>
                      <w:b/>
                      <w:sz w:val="24"/>
                    </w:rPr>
                  </w:pPr>
                  <w:r>
                    <w:rPr>
                      <w:szCs w:val="21"/>
                    </w:rPr>
                    <w:t>危险废物的贮存设施要求</w:t>
                  </w: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应建有堵截泄漏的裙脚，地面与裙脚要用坚固防渗的材料建造。应有隔离设施、报警装置和防风、防晒、防雨</w:t>
                  </w:r>
                </w:p>
              </w:tc>
              <w:tc>
                <w:tcPr>
                  <w:tcW w:w="3089"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szCs w:val="21"/>
                    </w:rPr>
                    <w:t>本项目</w:t>
                  </w:r>
                  <w:r>
                    <w:rPr>
                      <w:rFonts w:hint="eastAsia"/>
                      <w:szCs w:val="21"/>
                    </w:rPr>
                    <w:t>废机油收储车间</w:t>
                  </w:r>
                  <w:r>
                    <w:rPr>
                      <w:szCs w:val="21"/>
                    </w:rPr>
                    <w:t>设置围堰，地面采取防渗材料，并采取隔离设施、报警装置和相应的防风、防晒、防雨措施</w:t>
                  </w:r>
                </w:p>
              </w:tc>
              <w:tc>
                <w:tcPr>
                  <w:tcW w:w="933" w:type="dxa"/>
                  <w:tcBorders>
                    <w:right w:val="nil"/>
                  </w:tcBorders>
                </w:tcPr>
                <w:p>
                  <w:pPr>
                    <w:snapToGrid w:val="0"/>
                    <w:spacing w:line="360" w:lineRule="auto"/>
                    <w:jc w:val="center"/>
                    <w:rPr>
                      <w:szCs w:val="21"/>
                    </w:rPr>
                  </w:pPr>
                </w:p>
                <w:p>
                  <w:pPr>
                    <w:pStyle w:val="2"/>
                  </w:pPr>
                </w:p>
                <w:p>
                  <w:pPr>
                    <w:snapToGrid w:val="0"/>
                    <w:spacing w:line="360" w:lineRule="auto"/>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基础防渗层为</w:t>
                  </w:r>
                  <w:r>
                    <w:rPr>
                      <w:rFonts w:hint="eastAsia"/>
                      <w:szCs w:val="21"/>
                    </w:rPr>
                    <w:t>黏土层</w:t>
                  </w:r>
                  <w:r>
                    <w:rPr>
                      <w:szCs w:val="21"/>
                    </w:rPr>
                    <w:t>的</w:t>
                  </w:r>
                  <w:r>
                    <w:rPr>
                      <w:rFonts w:hint="eastAsia"/>
                      <w:szCs w:val="21"/>
                    </w:rPr>
                    <w:t>，</w:t>
                  </w:r>
                  <w:r>
                    <w:rPr>
                      <w:szCs w:val="21"/>
                    </w:rPr>
                    <w:t>其厚度应在1米以上，渗透系数应小于1.0×10</w:t>
                  </w:r>
                  <w:r>
                    <w:rPr>
                      <w:szCs w:val="21"/>
                      <w:vertAlign w:val="superscript"/>
                    </w:rPr>
                    <w:t>-7</w:t>
                  </w:r>
                  <w:r>
                    <w:rPr>
                      <w:szCs w:val="21"/>
                    </w:rPr>
                    <w:t>厘米/秒；基础防渗层也可用厚度在2毫米以上的高密度聚乙烯或其他人工防渗材料组成，渗透系数应小于 1.0×10</w:t>
                  </w:r>
                  <w:r>
                    <w:rPr>
                      <w:szCs w:val="21"/>
                      <w:vertAlign w:val="superscript"/>
                    </w:rPr>
                    <w:t xml:space="preserve"> -10 </w:t>
                  </w:r>
                  <w:r>
                    <w:rPr>
                      <w:szCs w:val="21"/>
                    </w:rPr>
                    <w:t>厘米/秒</w:t>
                  </w:r>
                </w:p>
              </w:tc>
              <w:tc>
                <w:tcPr>
                  <w:tcW w:w="3089"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szCs w:val="21"/>
                    </w:rPr>
                    <w:t>本项目</w:t>
                  </w:r>
                  <w:r>
                    <w:rPr>
                      <w:rFonts w:hint="eastAsia"/>
                      <w:szCs w:val="21"/>
                    </w:rPr>
                    <w:t>租用厂房</w:t>
                  </w:r>
                  <w:r>
                    <w:rPr>
                      <w:szCs w:val="21"/>
                    </w:rPr>
                    <w:t>地面</w:t>
                  </w:r>
                  <w:r>
                    <w:rPr>
                      <w:rFonts w:hint="eastAsia"/>
                      <w:szCs w:val="21"/>
                    </w:rPr>
                    <w:t>已</w:t>
                  </w:r>
                  <w:r>
                    <w:rPr>
                      <w:szCs w:val="21"/>
                    </w:rPr>
                    <w:t>采用混凝土浇筑地面+人工防渗层，</w:t>
                  </w:r>
                  <w:r>
                    <w:rPr>
                      <w:rFonts w:hint="eastAsia"/>
                      <w:szCs w:val="21"/>
                    </w:rPr>
                    <w:t>本项目施工期</w:t>
                  </w:r>
                  <w:r>
                    <w:rPr>
                      <w:szCs w:val="21"/>
                    </w:rPr>
                    <w:t>应对地面进一步防渗处理，</w:t>
                  </w:r>
                  <w:r>
                    <w:rPr>
                      <w:rFonts w:hint="eastAsia"/>
                      <w:szCs w:val="21"/>
                    </w:rPr>
                    <w:t>满足上述</w:t>
                  </w:r>
                  <w:r>
                    <w:rPr>
                      <w:szCs w:val="21"/>
                    </w:rPr>
                    <w:t>防渗要求。</w:t>
                  </w:r>
                </w:p>
              </w:tc>
              <w:tc>
                <w:tcPr>
                  <w:tcW w:w="933" w:type="dxa"/>
                  <w:tcBorders>
                    <w:right w:val="nil"/>
                  </w:tcBorders>
                  <w:vAlign w:val="center"/>
                </w:tcPr>
                <w:p>
                  <w:pPr>
                    <w:widowControl/>
                    <w:tabs>
                      <w:tab w:val="left" w:pos="0"/>
                    </w:tabs>
                    <w:overflowPunct w:val="0"/>
                    <w:topLinePunct/>
                    <w:autoSpaceDE w:val="0"/>
                    <w:adjustRightInd w:val="0"/>
                    <w:snapToGrid w:val="0"/>
                    <w:jc w:val="center"/>
                    <w:textAlignment w:val="baseline"/>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须有泄漏液体收集装置及气体导出口和气体净化装置</w:t>
                  </w:r>
                </w:p>
              </w:tc>
              <w:tc>
                <w:tcPr>
                  <w:tcW w:w="3089"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rFonts w:hint="eastAsia"/>
                      <w:szCs w:val="21"/>
                    </w:rPr>
                    <w:t>废机油</w:t>
                  </w:r>
                  <w:r>
                    <w:rPr>
                      <w:rFonts w:hint="eastAsia"/>
                      <w:szCs w:val="21"/>
                      <w:lang w:eastAsia="zh-CN"/>
                    </w:rPr>
                    <w:t>收</w:t>
                  </w:r>
                  <w:r>
                    <w:rPr>
                      <w:rFonts w:hint="eastAsia"/>
                      <w:szCs w:val="21"/>
                    </w:rPr>
                    <w:t>储间</w:t>
                  </w:r>
                  <w:r>
                    <w:rPr>
                      <w:szCs w:val="21"/>
                    </w:rPr>
                    <w:t>内设置有泄漏液体收集装置和气体净化装置</w:t>
                  </w:r>
                </w:p>
              </w:tc>
              <w:tc>
                <w:tcPr>
                  <w:tcW w:w="933" w:type="dxa"/>
                  <w:tcBorders>
                    <w:right w:val="nil"/>
                  </w:tcBorders>
                </w:tcPr>
                <w:p>
                  <w:pPr>
                    <w:snapToGrid w:val="0"/>
                    <w:spacing w:line="360" w:lineRule="auto"/>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用于存放液体、半固体危险废物的地方，还须有耐腐蚀的硬化地面，地面无裂隙</w:t>
                  </w:r>
                </w:p>
              </w:tc>
              <w:tc>
                <w:tcPr>
                  <w:tcW w:w="3089"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rFonts w:hint="eastAsia"/>
                      <w:szCs w:val="21"/>
                    </w:rPr>
                    <w:t>废机油仓储间</w:t>
                  </w:r>
                  <w:r>
                    <w:rPr>
                      <w:szCs w:val="21"/>
                    </w:rPr>
                    <w:t>对地面进行耐腐蚀硬化</w:t>
                  </w:r>
                  <w:r>
                    <w:rPr>
                      <w:rFonts w:hint="eastAsia"/>
                      <w:szCs w:val="21"/>
                    </w:rPr>
                    <w:t>，确保</w:t>
                  </w:r>
                  <w:r>
                    <w:rPr>
                      <w:szCs w:val="21"/>
                    </w:rPr>
                    <w:t>地面无裂隙</w:t>
                  </w:r>
                  <w:r>
                    <w:rPr>
                      <w:rFonts w:hint="eastAsia"/>
                      <w:szCs w:val="21"/>
                    </w:rPr>
                    <w:t>。</w:t>
                  </w:r>
                </w:p>
              </w:tc>
              <w:tc>
                <w:tcPr>
                  <w:tcW w:w="933" w:type="dxa"/>
                  <w:tcBorders>
                    <w:right w:val="nil"/>
                  </w:tcBorders>
                </w:tcPr>
                <w:p>
                  <w:pPr>
                    <w:snapToGrid w:val="0"/>
                    <w:spacing w:line="360" w:lineRule="auto"/>
                    <w:jc w:val="center"/>
                    <w:rPr>
                      <w:szCs w:val="21"/>
                    </w:rPr>
                  </w:pPr>
                </w:p>
                <w:p>
                  <w:pPr>
                    <w:snapToGrid w:val="0"/>
                    <w:spacing w:line="360" w:lineRule="auto"/>
                    <w:jc w:val="center"/>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tcBorders>
                </w:tcPr>
                <w:p>
                  <w:pPr>
                    <w:snapToGrid w:val="0"/>
                    <w:spacing w:line="360" w:lineRule="auto"/>
                    <w:rPr>
                      <w:rFonts w:ascii="宋体" w:hAnsi="宋体"/>
                      <w:b/>
                      <w:sz w:val="24"/>
                    </w:rPr>
                  </w:pPr>
                </w:p>
              </w:tc>
              <w:tc>
                <w:tcPr>
                  <w:tcW w:w="3154" w:type="dxa"/>
                  <w:vAlign w:val="center"/>
                </w:tcPr>
                <w:p>
                  <w:pPr>
                    <w:widowControl/>
                    <w:tabs>
                      <w:tab w:val="left" w:pos="0"/>
                    </w:tabs>
                    <w:overflowPunct w:val="0"/>
                    <w:topLinePunct/>
                    <w:autoSpaceDE w:val="0"/>
                    <w:adjustRightInd w:val="0"/>
                    <w:snapToGrid w:val="0"/>
                    <w:textAlignment w:val="baseline"/>
                    <w:rPr>
                      <w:szCs w:val="21"/>
                    </w:rPr>
                  </w:pPr>
                  <w:r>
                    <w:rPr>
                      <w:szCs w:val="21"/>
                    </w:rPr>
                    <w:t>贮存易燃易爆的危险废物的场所应配备消防设备</w:t>
                  </w:r>
                </w:p>
              </w:tc>
              <w:tc>
                <w:tcPr>
                  <w:tcW w:w="3089" w:type="dxa"/>
                  <w:vAlign w:val="center"/>
                </w:tcPr>
                <w:p>
                  <w:pPr>
                    <w:widowControl/>
                    <w:tabs>
                      <w:tab w:val="left" w:pos="0"/>
                    </w:tabs>
                    <w:overflowPunct w:val="0"/>
                    <w:topLinePunct/>
                    <w:autoSpaceDE w:val="0"/>
                    <w:adjustRightInd w:val="0"/>
                    <w:snapToGrid w:val="0"/>
                    <w:textAlignment w:val="baseline"/>
                    <w:rPr>
                      <w:rFonts w:ascii="宋体" w:hAnsi="宋体"/>
                      <w:b/>
                      <w:sz w:val="24"/>
                    </w:rPr>
                  </w:pPr>
                  <w:r>
                    <w:rPr>
                      <w:szCs w:val="21"/>
                    </w:rPr>
                    <w:t>本项目</w:t>
                  </w:r>
                  <w:r>
                    <w:rPr>
                      <w:rFonts w:hint="eastAsia"/>
                      <w:szCs w:val="21"/>
                    </w:rPr>
                    <w:t>废机油仓储间应</w:t>
                  </w:r>
                  <w:r>
                    <w:rPr>
                      <w:szCs w:val="21"/>
                    </w:rPr>
                    <w:t>按照规范要求设置消防设备</w:t>
                  </w:r>
                </w:p>
              </w:tc>
              <w:tc>
                <w:tcPr>
                  <w:tcW w:w="933" w:type="dxa"/>
                  <w:tcBorders>
                    <w:right w:val="nil"/>
                  </w:tcBorders>
                  <w:vAlign w:val="center"/>
                </w:tcPr>
                <w:p>
                  <w:pPr>
                    <w:widowControl/>
                    <w:tabs>
                      <w:tab w:val="left" w:pos="0"/>
                    </w:tabs>
                    <w:overflowPunct w:val="0"/>
                    <w:topLinePunct/>
                    <w:autoSpaceDE w:val="0"/>
                    <w:adjustRightInd w:val="0"/>
                    <w:snapToGrid w:val="0"/>
                    <w:jc w:val="center"/>
                    <w:textAlignment w:val="baseline"/>
                    <w:rPr>
                      <w:rFonts w:ascii="宋体" w:hAnsi="宋体"/>
                      <w:b/>
                      <w:sz w:val="24"/>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vMerge w:val="continue"/>
                  <w:tcBorders>
                    <w:left w:val="nil"/>
                    <w:bottom w:val="single" w:color="auto" w:sz="12" w:space="0"/>
                  </w:tcBorders>
                </w:tcPr>
                <w:p>
                  <w:pPr>
                    <w:snapToGrid w:val="0"/>
                    <w:spacing w:line="360" w:lineRule="auto"/>
                    <w:rPr>
                      <w:rFonts w:ascii="宋体" w:hAnsi="宋体"/>
                      <w:b/>
                      <w:sz w:val="24"/>
                    </w:rPr>
                  </w:pPr>
                </w:p>
              </w:tc>
              <w:tc>
                <w:tcPr>
                  <w:tcW w:w="3154" w:type="dxa"/>
                  <w:tcBorders>
                    <w:bottom w:val="single" w:color="auto" w:sz="12" w:space="0"/>
                  </w:tcBorders>
                  <w:vAlign w:val="center"/>
                </w:tcPr>
                <w:p>
                  <w:pPr>
                    <w:widowControl/>
                    <w:tabs>
                      <w:tab w:val="left" w:pos="0"/>
                    </w:tabs>
                    <w:overflowPunct w:val="0"/>
                    <w:topLinePunct/>
                    <w:autoSpaceDE w:val="0"/>
                    <w:adjustRightInd w:val="0"/>
                    <w:snapToGrid w:val="0"/>
                    <w:textAlignment w:val="baseline"/>
                    <w:rPr>
                      <w:szCs w:val="21"/>
                    </w:rPr>
                  </w:pPr>
                  <w:r>
                    <w:rPr>
                      <w:szCs w:val="21"/>
                    </w:rPr>
                    <w:t>危险废物的贮存设施的选址与设计、运行与管理、安全防护、环境监测及应急措施、以及关闭等须遵循《危险废物贮存污染控制标准》的规定</w:t>
                  </w:r>
                </w:p>
              </w:tc>
              <w:tc>
                <w:tcPr>
                  <w:tcW w:w="3089" w:type="dxa"/>
                  <w:tcBorders>
                    <w:bottom w:val="single" w:color="auto" w:sz="12" w:space="0"/>
                  </w:tcBorders>
                  <w:vAlign w:val="center"/>
                </w:tcPr>
                <w:p>
                  <w:pPr>
                    <w:widowControl/>
                    <w:tabs>
                      <w:tab w:val="left" w:pos="0"/>
                    </w:tabs>
                    <w:overflowPunct w:val="0"/>
                    <w:topLinePunct/>
                    <w:autoSpaceDE w:val="0"/>
                    <w:adjustRightInd w:val="0"/>
                    <w:snapToGrid w:val="0"/>
                    <w:jc w:val="left"/>
                    <w:textAlignment w:val="baseline"/>
                    <w:rPr>
                      <w:rFonts w:ascii="宋体" w:hAnsi="宋体"/>
                      <w:b/>
                      <w:sz w:val="24"/>
                    </w:rPr>
                  </w:pPr>
                  <w:r>
                    <w:rPr>
                      <w:szCs w:val="21"/>
                    </w:rPr>
                    <w:t>本项目的选址、设计、运行、管理均符合《危险废物贮存污染控制标准》</w:t>
                  </w:r>
                  <w:r>
                    <w:rPr>
                      <w:rFonts w:hint="eastAsia"/>
                      <w:szCs w:val="21"/>
                    </w:rPr>
                    <w:t>（GB 18597-2001）中</w:t>
                  </w:r>
                  <w:r>
                    <w:rPr>
                      <w:szCs w:val="21"/>
                    </w:rPr>
                    <w:t>相关规定</w:t>
                  </w:r>
                </w:p>
              </w:tc>
              <w:tc>
                <w:tcPr>
                  <w:tcW w:w="933" w:type="dxa"/>
                  <w:tcBorders>
                    <w:bottom w:val="single" w:color="auto" w:sz="12" w:space="0"/>
                    <w:right w:val="nil"/>
                  </w:tcBorders>
                  <w:vAlign w:val="center"/>
                </w:tcPr>
                <w:p>
                  <w:pPr>
                    <w:widowControl/>
                    <w:tabs>
                      <w:tab w:val="left" w:pos="0"/>
                    </w:tabs>
                    <w:overflowPunct w:val="0"/>
                    <w:topLinePunct/>
                    <w:autoSpaceDE w:val="0"/>
                    <w:adjustRightInd w:val="0"/>
                    <w:snapToGrid w:val="0"/>
                    <w:jc w:val="center"/>
                    <w:textAlignment w:val="baseline"/>
                    <w:rPr>
                      <w:rFonts w:ascii="宋体" w:hAnsi="宋体"/>
                      <w:b/>
                      <w:sz w:val="24"/>
                    </w:rPr>
                  </w:pPr>
                  <w:r>
                    <w:rPr>
                      <w:szCs w:val="21"/>
                    </w:rPr>
                    <w:t>符合</w:t>
                  </w:r>
                </w:p>
              </w:tc>
            </w:tr>
          </w:tbl>
          <w:p>
            <w:pPr>
              <w:pStyle w:val="109"/>
              <w:spacing w:beforeLines="50" w:after="0" w:line="360" w:lineRule="auto"/>
              <w:ind w:firstLine="482" w:firstLineChars="200"/>
              <w:rPr>
                <w:rFonts w:ascii="Times New Roman" w:hAnsi="Times New Roman" w:cs="Times New Roman"/>
                <w:b/>
                <w:bCs/>
                <w:color w:val="auto"/>
                <w:kern w:val="2"/>
              </w:rPr>
            </w:pPr>
            <w:r>
              <w:rPr>
                <w:rFonts w:hint="eastAsia" w:ascii="Times New Roman" w:hAnsi="Times New Roman" w:cs="Times New Roman"/>
                <w:b/>
                <w:bCs/>
                <w:color w:val="auto"/>
                <w:kern w:val="2"/>
              </w:rPr>
              <w:t>7、</w:t>
            </w:r>
            <w:r>
              <w:rPr>
                <w:rFonts w:ascii="Times New Roman" w:hAnsi="Times New Roman" w:cs="Times New Roman"/>
                <w:b/>
                <w:bCs/>
                <w:color w:val="auto"/>
                <w:kern w:val="2"/>
              </w:rPr>
              <w:t>与废机油行业污染控制技术规范符合性分析</w:t>
            </w:r>
          </w:p>
          <w:p>
            <w:pPr>
              <w:spacing w:line="240" w:lineRule="exact"/>
            </w:pPr>
          </w:p>
          <w:p>
            <w:pPr>
              <w:pStyle w:val="33"/>
              <w:numPr>
                <w:ilvl w:val="0"/>
                <w:numId w:val="0"/>
              </w:numPr>
              <w:spacing w:line="360" w:lineRule="auto"/>
              <w:jc w:val="center"/>
            </w:pPr>
            <w:r>
              <w:rPr>
                <w:rFonts w:hint="eastAsia"/>
                <w:sz w:val="22"/>
                <w:szCs w:val="22"/>
              </w:rPr>
              <w:t>表</w:t>
            </w:r>
            <w:r>
              <w:rPr>
                <w:rFonts w:hint="eastAsia"/>
                <w:sz w:val="22"/>
                <w:szCs w:val="22"/>
                <w:lang w:val="en-US" w:eastAsia="zh-CN"/>
              </w:rPr>
              <w:t>7</w:t>
            </w:r>
            <w:r>
              <w:rPr>
                <w:rFonts w:hint="eastAsia"/>
                <w:sz w:val="22"/>
                <w:szCs w:val="22"/>
              </w:rPr>
              <w:t xml:space="preserve">  </w:t>
            </w:r>
            <w:r>
              <w:rPr>
                <w:sz w:val="22"/>
                <w:szCs w:val="22"/>
              </w:rPr>
              <w:t>本项目与《废矿物油回收利用污染控制技术规范》</w:t>
            </w:r>
            <w:r>
              <w:rPr>
                <w:rFonts w:hint="default"/>
                <w:sz w:val="22"/>
                <w:szCs w:val="22"/>
                <w:lang w:val="en-US"/>
              </w:rPr>
              <w:t>(</w:t>
            </w:r>
            <w:r>
              <w:rPr>
                <w:rFonts w:hint="eastAsia"/>
                <w:sz w:val="22"/>
                <w:szCs w:val="22"/>
              </w:rPr>
              <w:t>HJ607-2011</w:t>
            </w:r>
            <w:r>
              <w:rPr>
                <w:rFonts w:hint="default"/>
                <w:sz w:val="22"/>
                <w:szCs w:val="22"/>
                <w:lang w:val="en-US"/>
              </w:rPr>
              <w:t>)</w:t>
            </w:r>
            <w:r>
              <w:rPr>
                <w:sz w:val="22"/>
                <w:szCs w:val="22"/>
              </w:rPr>
              <w:t>符合性分析</w:t>
            </w:r>
          </w:p>
          <w:tbl>
            <w:tblPr>
              <w:tblStyle w:val="26"/>
              <w:tblW w:w="804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086"/>
              <w:gridCol w:w="2528"/>
              <w:gridCol w:w="8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tcBorders>
                    <w:tl2br w:val="nil"/>
                    <w:tr2bl w:val="nil"/>
                  </w:tcBorders>
                  <w:vAlign w:val="center"/>
                </w:tcPr>
                <w:p>
                  <w:pPr>
                    <w:jc w:val="center"/>
                  </w:pPr>
                  <w:r>
                    <w:rPr>
                      <w:b/>
                      <w:bCs/>
                      <w:szCs w:val="21"/>
                    </w:rPr>
                    <w:t>项目</w:t>
                  </w:r>
                </w:p>
              </w:tc>
              <w:tc>
                <w:tcPr>
                  <w:tcW w:w="3086" w:type="dxa"/>
                  <w:tcBorders>
                    <w:tl2br w:val="nil"/>
                    <w:tr2bl w:val="nil"/>
                  </w:tcBorders>
                  <w:vAlign w:val="center"/>
                </w:tcPr>
                <w:p>
                  <w:pPr>
                    <w:jc w:val="center"/>
                  </w:pPr>
                  <w:r>
                    <w:rPr>
                      <w:b/>
                      <w:bCs/>
                      <w:szCs w:val="21"/>
                    </w:rPr>
                    <w:t>规范要求</w:t>
                  </w:r>
                </w:p>
              </w:tc>
              <w:tc>
                <w:tcPr>
                  <w:tcW w:w="2528" w:type="dxa"/>
                  <w:tcBorders>
                    <w:tl2br w:val="nil"/>
                    <w:tr2bl w:val="nil"/>
                  </w:tcBorders>
                  <w:vAlign w:val="center"/>
                </w:tcPr>
                <w:p>
                  <w:pPr>
                    <w:jc w:val="center"/>
                  </w:pPr>
                  <w:r>
                    <w:rPr>
                      <w:b/>
                      <w:bCs/>
                      <w:szCs w:val="21"/>
                    </w:rPr>
                    <w:t>本项目</w:t>
                  </w:r>
                </w:p>
              </w:tc>
              <w:tc>
                <w:tcPr>
                  <w:tcW w:w="871" w:type="dxa"/>
                  <w:tcBorders>
                    <w:tl2br w:val="nil"/>
                    <w:tr2bl w:val="nil"/>
                  </w:tcBorders>
                  <w:vAlign w:val="center"/>
                </w:tcPr>
                <w:p>
                  <w:pPr>
                    <w:jc w:val="center"/>
                  </w:pPr>
                  <w:r>
                    <w:rPr>
                      <w:b/>
                      <w:bCs/>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tcBorders>
                    <w:tl2br w:val="nil"/>
                    <w:tr2bl w:val="nil"/>
                  </w:tcBorders>
                  <w:vAlign w:val="center"/>
                </w:tcPr>
                <w:p>
                  <w:pPr>
                    <w:jc w:val="center"/>
                  </w:pPr>
                  <w:r>
                    <w:rPr>
                      <w:szCs w:val="21"/>
                    </w:rPr>
                    <w:t>危险废物分类及标签要求</w:t>
                  </w:r>
                </w:p>
              </w:tc>
              <w:tc>
                <w:tcPr>
                  <w:tcW w:w="3086" w:type="dxa"/>
                  <w:tcBorders>
                    <w:tl2br w:val="nil"/>
                    <w:tr2bl w:val="nil"/>
                  </w:tcBorders>
                  <w:vAlign w:val="center"/>
                </w:tcPr>
                <w:p>
                  <w:r>
                    <w:rPr>
                      <w:szCs w:val="21"/>
                    </w:rPr>
                    <w:t>应在废矿物油包装容器的适当位置粘贴废矿物油标签，标签应清晰易读，不应人为遮盖或污染</w:t>
                  </w:r>
                </w:p>
              </w:tc>
              <w:tc>
                <w:tcPr>
                  <w:tcW w:w="2528" w:type="dxa"/>
                  <w:tcBorders>
                    <w:tl2br w:val="nil"/>
                    <w:tr2bl w:val="nil"/>
                  </w:tcBorders>
                  <w:vAlign w:val="center"/>
                </w:tcPr>
                <w:p>
                  <w:r>
                    <w:rPr>
                      <w:rFonts w:hint="eastAsia"/>
                      <w:szCs w:val="21"/>
                    </w:rPr>
                    <w:t>项目运行后</w:t>
                  </w:r>
                  <w:r>
                    <w:rPr>
                      <w:szCs w:val="21"/>
                    </w:rPr>
                    <w:t>，</w:t>
                  </w:r>
                  <w:r>
                    <w:rPr>
                      <w:rFonts w:hint="eastAsia"/>
                      <w:szCs w:val="21"/>
                    </w:rPr>
                    <w:t>废矿物油</w:t>
                  </w:r>
                  <w:r>
                    <w:rPr>
                      <w:szCs w:val="21"/>
                    </w:rPr>
                    <w:t>包装容器上应粘贴符合规范要求的标签</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restart"/>
                  <w:tcBorders>
                    <w:tl2br w:val="nil"/>
                    <w:tr2bl w:val="nil"/>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szCs w:val="21"/>
                    </w:rPr>
                  </w:pPr>
                  <w:r>
                    <w:rPr>
                      <w:szCs w:val="21"/>
                    </w:rPr>
                    <w:t>收集污染</w:t>
                  </w:r>
                </w:p>
                <w:p>
                  <w:pPr>
                    <w:jc w:val="center"/>
                  </w:pPr>
                  <w:r>
                    <w:rPr>
                      <w:szCs w:val="21"/>
                    </w:rPr>
                    <w:t>控制技术要求</w:t>
                  </w:r>
                </w:p>
              </w:tc>
              <w:tc>
                <w:tcPr>
                  <w:tcW w:w="3086" w:type="dxa"/>
                  <w:tcBorders>
                    <w:tl2br w:val="nil"/>
                    <w:tr2bl w:val="nil"/>
                  </w:tcBorders>
                  <w:vAlign w:val="center"/>
                </w:tcPr>
                <w:p>
                  <w:pPr>
                    <w:rPr>
                      <w:szCs w:val="21"/>
                    </w:rPr>
                  </w:pPr>
                  <w:r>
                    <w:rPr>
                      <w:szCs w:val="21"/>
                    </w:rPr>
                    <w:t>废矿物油收集容器应完好无损，没有腐蚀、污染、损毁或其他</w:t>
                  </w:r>
                  <w:r>
                    <w:rPr>
                      <w:rFonts w:hint="eastAsia"/>
                      <w:szCs w:val="21"/>
                    </w:rPr>
                    <w:t>可能</w:t>
                  </w:r>
                  <w:r>
                    <w:rPr>
                      <w:szCs w:val="21"/>
                    </w:rPr>
                    <w:t>导致其使用效能减弱的缺陷</w:t>
                  </w:r>
                </w:p>
              </w:tc>
              <w:tc>
                <w:tcPr>
                  <w:tcW w:w="2528" w:type="dxa"/>
                  <w:tcBorders>
                    <w:tl2br w:val="nil"/>
                    <w:tr2bl w:val="nil"/>
                  </w:tcBorders>
                </w:tcPr>
                <w:p>
                  <w:r>
                    <w:rPr>
                      <w:szCs w:val="21"/>
                    </w:rPr>
                    <w:t>本项目收集废机油的容器</w:t>
                  </w:r>
                  <w:r>
                    <w:rPr>
                      <w:rFonts w:hint="eastAsia"/>
                      <w:szCs w:val="21"/>
                    </w:rPr>
                    <w:t>应确保</w:t>
                  </w:r>
                  <w:r>
                    <w:rPr>
                      <w:szCs w:val="21"/>
                    </w:rPr>
                    <w:t>完好无损，无腐蚀、污染及损毁情况存在</w:t>
                  </w:r>
                  <w:r>
                    <w:rPr>
                      <w:rFonts w:hint="eastAsia"/>
                      <w:szCs w:val="21"/>
                    </w:rPr>
                    <w:t>。</w:t>
                  </w:r>
                </w:p>
              </w:tc>
              <w:tc>
                <w:tcPr>
                  <w:tcW w:w="871" w:type="dxa"/>
                  <w:tcBorders>
                    <w:tl2br w:val="nil"/>
                    <w:tr2bl w:val="nil"/>
                  </w:tcBorders>
                </w:tcPr>
                <w:p>
                  <w:pPr>
                    <w:jc w:val="center"/>
                    <w:rPr>
                      <w:szCs w:val="21"/>
                    </w:rPr>
                  </w:pPr>
                </w:p>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废矿物油收集过程产生的废旧容器应按照危险废物进行处置，仍可转作他用的，应经过消除污染的处理</w:t>
                  </w:r>
                </w:p>
              </w:tc>
              <w:tc>
                <w:tcPr>
                  <w:tcW w:w="2528" w:type="dxa"/>
                  <w:vMerge w:val="restart"/>
                  <w:tcBorders>
                    <w:tl2br w:val="nil"/>
                    <w:tr2bl w:val="nil"/>
                  </w:tcBorders>
                  <w:vAlign w:val="center"/>
                </w:tcPr>
                <w:p>
                  <w:pPr>
                    <w:rPr>
                      <w:szCs w:val="21"/>
                    </w:rPr>
                  </w:pPr>
                  <w:r>
                    <w:rPr>
                      <w:szCs w:val="21"/>
                    </w:rPr>
                    <w:t>本项目委托有资质运输公司</w:t>
                  </w:r>
                  <w:r>
                    <w:rPr>
                      <w:rFonts w:hint="eastAsia"/>
                      <w:szCs w:val="21"/>
                    </w:rPr>
                    <w:t>，</w:t>
                  </w:r>
                  <w:r>
                    <w:rPr>
                      <w:szCs w:val="21"/>
                    </w:rPr>
                    <w:t>收集过程产生的废旧容器</w:t>
                  </w:r>
                  <w:r>
                    <w:rPr>
                      <w:rFonts w:hint="eastAsia"/>
                      <w:szCs w:val="21"/>
                    </w:rPr>
                    <w:t>、</w:t>
                  </w:r>
                  <w:r>
                    <w:rPr>
                      <w:szCs w:val="21"/>
                    </w:rPr>
                    <w:t>含油棉、含油毡等含废矿物油废物</w:t>
                  </w:r>
                  <w:r>
                    <w:rPr>
                      <w:rFonts w:hint="eastAsia"/>
                      <w:szCs w:val="21"/>
                    </w:rPr>
                    <w:t>，由</w:t>
                  </w:r>
                  <w:r>
                    <w:rPr>
                      <w:szCs w:val="21"/>
                    </w:rPr>
                    <w:t>运输公司</w:t>
                  </w:r>
                  <w:r>
                    <w:rPr>
                      <w:rFonts w:hint="eastAsia"/>
                      <w:szCs w:val="21"/>
                    </w:rPr>
                    <w:t>处置。</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废矿物油应在产生源收集，不宜在产生源收集的应设置专用设施集中收集</w:t>
                  </w:r>
                </w:p>
              </w:tc>
              <w:tc>
                <w:tcPr>
                  <w:tcW w:w="2528" w:type="dxa"/>
                  <w:vMerge w:val="continue"/>
                  <w:tcBorders>
                    <w:tl2br w:val="nil"/>
                    <w:tr2bl w:val="nil"/>
                  </w:tcBorders>
                </w:tcPr>
                <w:p/>
              </w:tc>
              <w:tc>
                <w:tcPr>
                  <w:tcW w:w="871" w:type="dxa"/>
                  <w:tcBorders>
                    <w:tl2br w:val="nil"/>
                    <w:tr2bl w:val="nil"/>
                  </w:tcBorders>
                </w:tcPr>
                <w:p>
                  <w:pPr>
                    <w:jc w:val="center"/>
                    <w:rPr>
                      <w:szCs w:val="21"/>
                    </w:rPr>
                  </w:pPr>
                </w:p>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废矿物油收集过程产生的应一并收集</w:t>
                  </w:r>
                </w:p>
              </w:tc>
              <w:tc>
                <w:tcPr>
                  <w:tcW w:w="2528" w:type="dxa"/>
                  <w:vMerge w:val="continue"/>
                  <w:tcBorders>
                    <w:tl2br w:val="nil"/>
                    <w:tr2bl w:val="nil"/>
                  </w:tcBorders>
                </w:tcP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restart"/>
                  <w:tcBorders>
                    <w:tl2br w:val="nil"/>
                    <w:tr2bl w:val="nil"/>
                  </w:tcBorders>
                </w:tcPr>
                <w:p>
                  <w:pPr>
                    <w:jc w:val="center"/>
                    <w:rPr>
                      <w:szCs w:val="21"/>
                    </w:rPr>
                  </w:pPr>
                </w:p>
                <w:p>
                  <w:pPr>
                    <w:jc w:val="center"/>
                    <w:rPr>
                      <w:szCs w:val="21"/>
                    </w:rPr>
                  </w:pPr>
                </w:p>
                <w:p>
                  <w:pPr>
                    <w:pStyle w:val="2"/>
                    <w:rPr>
                      <w:szCs w:val="21"/>
                    </w:rPr>
                  </w:pPr>
                </w:p>
                <w:p>
                  <w:pPr>
                    <w:pStyle w:val="3"/>
                    <w:rPr>
                      <w:szCs w:val="21"/>
                    </w:rPr>
                  </w:pPr>
                </w:p>
                <w:p>
                  <w:pPr>
                    <w:pStyle w:val="3"/>
                    <w:rPr>
                      <w:szCs w:val="21"/>
                    </w:rPr>
                  </w:pPr>
                </w:p>
                <w:p>
                  <w:pPr>
                    <w:jc w:val="center"/>
                    <w:rPr>
                      <w:szCs w:val="21"/>
                    </w:rPr>
                  </w:pPr>
                </w:p>
                <w:p>
                  <w:pPr>
                    <w:jc w:val="center"/>
                    <w:rPr>
                      <w:szCs w:val="21"/>
                    </w:rPr>
                  </w:pPr>
                </w:p>
                <w:p>
                  <w:pPr>
                    <w:jc w:val="center"/>
                    <w:rPr>
                      <w:szCs w:val="21"/>
                    </w:rPr>
                  </w:pPr>
                  <w:r>
                    <w:rPr>
                      <w:szCs w:val="21"/>
                    </w:rPr>
                    <w:t>贮存污染</w:t>
                  </w:r>
                </w:p>
                <w:p>
                  <w:pPr>
                    <w:jc w:val="center"/>
                  </w:pPr>
                  <w:r>
                    <w:rPr>
                      <w:szCs w:val="21"/>
                    </w:rPr>
                    <w:t>控制技术要求</w:t>
                  </w:r>
                </w:p>
              </w:tc>
              <w:tc>
                <w:tcPr>
                  <w:tcW w:w="3086" w:type="dxa"/>
                  <w:tcBorders>
                    <w:tl2br w:val="nil"/>
                    <w:tr2bl w:val="nil"/>
                  </w:tcBorders>
                  <w:vAlign w:val="center"/>
                </w:tcPr>
                <w:p>
                  <w:pPr>
                    <w:rPr>
                      <w:szCs w:val="21"/>
                    </w:rPr>
                  </w:pPr>
                  <w:r>
                    <w:rPr>
                      <w:szCs w:val="21"/>
                    </w:rPr>
                    <w:t>废矿物油贮存污染控制应符合GB18597中的有关规定</w:t>
                  </w:r>
                </w:p>
              </w:tc>
              <w:tc>
                <w:tcPr>
                  <w:tcW w:w="2528" w:type="dxa"/>
                  <w:tcBorders>
                    <w:tl2br w:val="nil"/>
                    <w:tr2bl w:val="nil"/>
                  </w:tcBorders>
                  <w:vAlign w:val="center"/>
                </w:tcPr>
                <w:p>
                  <w:pPr>
                    <w:jc w:val="left"/>
                  </w:pPr>
                  <w:r>
                    <w:rPr>
                      <w:szCs w:val="21"/>
                    </w:rPr>
                    <w:t>本项目按照废机油贮存污染控制符合</w:t>
                  </w:r>
                  <w:r>
                    <w:rPr>
                      <w:rFonts w:hint="eastAsia"/>
                      <w:szCs w:val="21"/>
                    </w:rPr>
                    <w:t>GB 18597-2001</w:t>
                  </w:r>
                  <w:r>
                    <w:rPr>
                      <w:szCs w:val="21"/>
                    </w:rPr>
                    <w:t>中相关规定</w:t>
                  </w:r>
                  <w:r>
                    <w:rPr>
                      <w:rFonts w:hint="eastAsia"/>
                      <w:szCs w:val="21"/>
                    </w:rPr>
                    <w:t>。</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废矿物油贮存设施的设计、建设除符合危险废物贮存设计原则外，还应符合有关消防和危险品贮存设计规范</w:t>
                  </w:r>
                </w:p>
              </w:tc>
              <w:tc>
                <w:tcPr>
                  <w:tcW w:w="2528" w:type="dxa"/>
                  <w:tcBorders>
                    <w:tl2br w:val="nil"/>
                    <w:tr2bl w:val="nil"/>
                  </w:tcBorders>
                  <w:vAlign w:val="center"/>
                </w:tcPr>
                <w:p>
                  <w:r>
                    <w:rPr>
                      <w:szCs w:val="21"/>
                    </w:rPr>
                    <w:t>本项目按照有关消防和危险品贮存的设计规范进行建设，并符合消防和危险品贮存设计的相关要求</w:t>
                  </w:r>
                  <w:r>
                    <w:rPr>
                      <w:rFonts w:hint="eastAsia"/>
                      <w:szCs w:val="21"/>
                    </w:rPr>
                    <w:t>。</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废矿物油贮存设施应远离火源</w:t>
                  </w:r>
                </w:p>
              </w:tc>
              <w:tc>
                <w:tcPr>
                  <w:tcW w:w="2528" w:type="dxa"/>
                  <w:tcBorders>
                    <w:tl2br w:val="nil"/>
                    <w:tr2bl w:val="nil"/>
                  </w:tcBorders>
                  <w:vAlign w:val="center"/>
                </w:tcPr>
                <w:p>
                  <w:r>
                    <w:rPr>
                      <w:szCs w:val="21"/>
                    </w:rPr>
                    <w:t>本项目废机油采用专用的储油罐进行储存，远离火源</w:t>
                  </w:r>
                  <w:r>
                    <w:rPr>
                      <w:rFonts w:hint="eastAsia"/>
                      <w:szCs w:val="21"/>
                    </w:rPr>
                    <w:t>，</w:t>
                  </w:r>
                  <w:r>
                    <w:rPr>
                      <w:szCs w:val="21"/>
                    </w:rPr>
                    <w:t>避免高温和阳光直射</w:t>
                  </w:r>
                  <w:r>
                    <w:rPr>
                      <w:rFonts w:hint="eastAsia"/>
                      <w:szCs w:val="21"/>
                    </w:rPr>
                    <w:t>。</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废矿物油应使用专用设施贮存，贮存前应进行检验，不应与不相容的废物混合，实行分类存放</w:t>
                  </w:r>
                </w:p>
              </w:tc>
              <w:tc>
                <w:tcPr>
                  <w:tcW w:w="2528" w:type="dxa"/>
                  <w:tcBorders>
                    <w:tl2br w:val="nil"/>
                    <w:tr2bl w:val="nil"/>
                  </w:tcBorders>
                  <w:vAlign w:val="center"/>
                </w:tcPr>
                <w:p>
                  <w:r>
                    <w:rPr>
                      <w:szCs w:val="21"/>
                    </w:rPr>
                    <w:t>本项目采用专用的储罐进行储存，在进厂</w:t>
                  </w:r>
                  <w:r>
                    <w:rPr>
                      <w:rFonts w:hint="eastAsia"/>
                      <w:szCs w:val="21"/>
                    </w:rPr>
                    <w:t>前</w:t>
                  </w:r>
                  <w:r>
                    <w:rPr>
                      <w:szCs w:val="21"/>
                    </w:rPr>
                    <w:t>均进行了</w:t>
                  </w:r>
                  <w:r>
                    <w:rPr>
                      <w:rFonts w:hint="eastAsia"/>
                      <w:szCs w:val="21"/>
                    </w:rPr>
                    <w:t>自</w:t>
                  </w:r>
                  <w:r>
                    <w:rPr>
                      <w:szCs w:val="21"/>
                    </w:rPr>
                    <w:t>检</w:t>
                  </w:r>
                  <w:r>
                    <w:rPr>
                      <w:rFonts w:hint="eastAsia"/>
                      <w:szCs w:val="21"/>
                    </w:rPr>
                    <w:t>，</w:t>
                  </w:r>
                  <w:r>
                    <w:rPr>
                      <w:szCs w:val="21"/>
                    </w:rPr>
                    <w:t>本项目</w:t>
                  </w:r>
                  <w:r>
                    <w:rPr>
                      <w:rFonts w:hint="eastAsia"/>
                      <w:szCs w:val="21"/>
                    </w:rPr>
                    <w:t>只收集</w:t>
                  </w:r>
                  <w:r>
                    <w:rPr>
                      <w:szCs w:val="21"/>
                    </w:rPr>
                    <w:t>废机油</w:t>
                  </w:r>
                  <w:r>
                    <w:rPr>
                      <w:rFonts w:hint="eastAsia"/>
                      <w:szCs w:val="21"/>
                    </w:rPr>
                    <w:t>一种危废。</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废矿物油贮存设施内地面应</w:t>
                  </w:r>
                  <w:r>
                    <w:rPr>
                      <w:rFonts w:hint="eastAsia"/>
                      <w:szCs w:val="21"/>
                    </w:rPr>
                    <w:t>作</w:t>
                  </w:r>
                  <w:r>
                    <w:rPr>
                      <w:szCs w:val="21"/>
                    </w:rPr>
                    <w:t>防渗处理，并建设废矿物油收集和导流系统，用于收集不慎泄露的废矿物油</w:t>
                  </w:r>
                </w:p>
              </w:tc>
              <w:tc>
                <w:tcPr>
                  <w:tcW w:w="2528" w:type="dxa"/>
                  <w:tcBorders>
                    <w:tl2br w:val="nil"/>
                    <w:tr2bl w:val="nil"/>
                  </w:tcBorders>
                  <w:vAlign w:val="center"/>
                </w:tcPr>
                <w:p>
                  <w:r>
                    <w:rPr>
                      <w:szCs w:val="21"/>
                    </w:rPr>
                    <w:t>本项目储罐区均作了地面防渗处理，在储存区设置了排油沟、围</w:t>
                  </w:r>
                  <w:r>
                    <w:rPr>
                      <w:rFonts w:hint="eastAsia"/>
                      <w:szCs w:val="21"/>
                    </w:rPr>
                    <w:t>堤。</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废矿物油容器盛装液体废矿物油时，应留有足够的膨胀余量，预留容积应不少于总容积的5%</w:t>
                  </w:r>
                </w:p>
              </w:tc>
              <w:tc>
                <w:tcPr>
                  <w:tcW w:w="2528" w:type="dxa"/>
                  <w:tcBorders>
                    <w:tl2br w:val="nil"/>
                    <w:tr2bl w:val="nil"/>
                  </w:tcBorders>
                  <w:vAlign w:val="center"/>
                </w:tcPr>
                <w:p>
                  <w:r>
                    <w:rPr>
                      <w:szCs w:val="21"/>
                    </w:rPr>
                    <w:t>本项目废机油的盛装均按照规范进行盛装</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pPr>
                    <w:rPr>
                      <w:szCs w:val="21"/>
                    </w:rPr>
                  </w:pPr>
                  <w:r>
                    <w:rPr>
                      <w:szCs w:val="21"/>
                    </w:rPr>
                    <w:t>已盛装废矿物油的容器应密封，贮油油罐应设置呼吸孔，防止气体膨胀，并安装防护罩，防止杂质落入</w:t>
                  </w:r>
                </w:p>
              </w:tc>
              <w:tc>
                <w:tcPr>
                  <w:tcW w:w="2528" w:type="dxa"/>
                  <w:tcBorders>
                    <w:tl2br w:val="nil"/>
                    <w:tr2bl w:val="nil"/>
                  </w:tcBorders>
                  <w:vAlign w:val="center"/>
                </w:tcPr>
                <w:p>
                  <w:r>
                    <w:rPr>
                      <w:szCs w:val="21"/>
                    </w:rPr>
                    <w:t>本项目容器密封，有呼吸孔</w:t>
                  </w:r>
                  <w:r>
                    <w:rPr>
                      <w:rFonts w:hint="eastAsia"/>
                      <w:szCs w:val="21"/>
                    </w:rPr>
                    <w:t>，</w:t>
                  </w:r>
                  <w:r>
                    <w:rPr>
                      <w:szCs w:val="21"/>
                    </w:rPr>
                    <w:t>防止气体膨胀，并安装防护罩，防止杂质落入</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restart"/>
                  <w:tcBorders>
                    <w:tl2br w:val="nil"/>
                    <w:tr2bl w:val="nil"/>
                  </w:tcBorders>
                </w:tcPr>
                <w:p>
                  <w:pPr>
                    <w:rPr>
                      <w:szCs w:val="21"/>
                    </w:rPr>
                  </w:pPr>
                </w:p>
                <w:p>
                  <w:pPr>
                    <w:rPr>
                      <w:szCs w:val="21"/>
                    </w:rPr>
                  </w:pPr>
                </w:p>
                <w:p>
                  <w:pPr>
                    <w:jc w:val="center"/>
                  </w:pPr>
                  <w:r>
                    <w:rPr>
                      <w:szCs w:val="21"/>
                    </w:rPr>
                    <w:t>管理要求</w:t>
                  </w:r>
                </w:p>
              </w:tc>
              <w:tc>
                <w:tcPr>
                  <w:tcW w:w="3086" w:type="dxa"/>
                  <w:tcBorders>
                    <w:tl2br w:val="nil"/>
                    <w:tr2bl w:val="nil"/>
                  </w:tcBorders>
                  <w:vAlign w:val="center"/>
                </w:tcPr>
                <w:p>
                  <w:r>
                    <w:rPr>
                      <w:szCs w:val="21"/>
                    </w:rPr>
                    <w:t>废矿物油经营单位应按照《危险废物经营单位记录和报告经营情况指南》建立废矿物油经营情况记录和报告制度</w:t>
                  </w:r>
                </w:p>
              </w:tc>
              <w:tc>
                <w:tcPr>
                  <w:tcW w:w="2528" w:type="dxa"/>
                  <w:tcBorders>
                    <w:tl2br w:val="nil"/>
                    <w:tr2bl w:val="nil"/>
                  </w:tcBorders>
                  <w:vAlign w:val="center"/>
                </w:tcPr>
                <w:p>
                  <w:r>
                    <w:rPr>
                      <w:rFonts w:hint="eastAsia"/>
                      <w:szCs w:val="21"/>
                    </w:rPr>
                    <w:t>项目</w:t>
                  </w:r>
                  <w:r>
                    <w:rPr>
                      <w:szCs w:val="21"/>
                    </w:rPr>
                    <w:t>运行期应按照规范建设经营情况记录和报告制度</w:t>
                  </w:r>
                  <w:r>
                    <w:rPr>
                      <w:rFonts w:hint="eastAsia"/>
                      <w:szCs w:val="21"/>
                    </w:rPr>
                    <w:t>。</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r>
                    <w:rPr>
                      <w:szCs w:val="21"/>
                    </w:rPr>
                    <w:t>废矿物油产生单位和废矿物油经营单位应建立环境保护管理责任制度，设置环境保护部门或专（兼）职人员，负责监督废矿物油收集、贮存、运输、利用和处置过程中的环境保护及相关管理工作</w:t>
                  </w:r>
                </w:p>
              </w:tc>
              <w:tc>
                <w:tcPr>
                  <w:tcW w:w="2528" w:type="dxa"/>
                  <w:tcBorders>
                    <w:tl2br w:val="nil"/>
                    <w:tr2bl w:val="nil"/>
                  </w:tcBorders>
                  <w:vAlign w:val="center"/>
                </w:tcPr>
                <w:p>
                  <w:r>
                    <w:rPr>
                      <w:rFonts w:hint="eastAsia"/>
                      <w:szCs w:val="21"/>
                    </w:rPr>
                    <w:t>项目</w:t>
                  </w:r>
                  <w:r>
                    <w:rPr>
                      <w:szCs w:val="21"/>
                    </w:rPr>
                    <w:t>运行期应建立环境保护管理责任制度，设置环境保护部门或专（兼）职人员</w:t>
                  </w:r>
                  <w:r>
                    <w:rPr>
                      <w:rFonts w:hint="eastAsia"/>
                      <w:szCs w:val="21"/>
                    </w:rPr>
                    <w:t>。</w:t>
                  </w:r>
                </w:p>
              </w:tc>
              <w:tc>
                <w:tcPr>
                  <w:tcW w:w="871" w:type="dxa"/>
                  <w:tcBorders>
                    <w:tl2br w:val="nil"/>
                    <w:tr2bl w:val="nil"/>
                  </w:tcBorders>
                  <w:vAlign w:val="center"/>
                </w:tcPr>
                <w:p>
                  <w:pPr>
                    <w:jc w:val="cente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8" w:type="dxa"/>
                  <w:vMerge w:val="continue"/>
                  <w:tcBorders>
                    <w:tl2br w:val="nil"/>
                    <w:tr2bl w:val="nil"/>
                  </w:tcBorders>
                </w:tcPr>
                <w:p/>
              </w:tc>
              <w:tc>
                <w:tcPr>
                  <w:tcW w:w="3086" w:type="dxa"/>
                  <w:tcBorders>
                    <w:tl2br w:val="nil"/>
                    <w:tr2bl w:val="nil"/>
                  </w:tcBorders>
                  <w:vAlign w:val="center"/>
                </w:tcPr>
                <w:p>
                  <w:r>
                    <w:rPr>
                      <w:szCs w:val="21"/>
                    </w:rPr>
                    <w:t>废矿物油经营单位应按照《危险废物经营单位编制应急预案指南》 建立污染预防机制和环境污染事故应急预案制度</w:t>
                  </w:r>
                </w:p>
              </w:tc>
              <w:tc>
                <w:tcPr>
                  <w:tcW w:w="2528" w:type="dxa"/>
                  <w:tcBorders>
                    <w:tl2br w:val="nil"/>
                    <w:tr2bl w:val="nil"/>
                  </w:tcBorders>
                  <w:vAlign w:val="center"/>
                </w:tcPr>
                <w:p>
                  <w:r>
                    <w:rPr>
                      <w:rFonts w:hint="eastAsia"/>
                      <w:szCs w:val="21"/>
                    </w:rPr>
                    <w:t>企业</w:t>
                  </w:r>
                  <w:r>
                    <w:rPr>
                      <w:szCs w:val="21"/>
                    </w:rPr>
                    <w:t>应按照《危险废物经营单位编制应急预案指南》 建立污染预防机制和环境污染事故应急预案制度</w:t>
                  </w:r>
                  <w:r>
                    <w:rPr>
                      <w:rFonts w:hint="eastAsia"/>
                      <w:szCs w:val="21"/>
                    </w:rPr>
                    <w:t>。</w:t>
                  </w:r>
                </w:p>
              </w:tc>
              <w:tc>
                <w:tcPr>
                  <w:tcW w:w="871" w:type="dxa"/>
                  <w:tcBorders>
                    <w:tl2br w:val="nil"/>
                    <w:tr2bl w:val="nil"/>
                  </w:tcBorders>
                  <w:vAlign w:val="center"/>
                </w:tcPr>
                <w:p>
                  <w:pPr>
                    <w:jc w:val="center"/>
                  </w:pPr>
                  <w:r>
                    <w:rPr>
                      <w:szCs w:val="21"/>
                    </w:rPr>
                    <w:t>符合</w:t>
                  </w:r>
                </w:p>
              </w:tc>
            </w:tr>
          </w:tbl>
          <w:p/>
          <w:p>
            <w:pPr>
              <w:pStyle w:val="33"/>
              <w:numPr>
                <w:ilvl w:val="0"/>
                <w:numId w:val="0"/>
              </w:numPr>
              <w:rPr>
                <w:sz w:val="20"/>
                <w:szCs w:val="20"/>
              </w:rPr>
            </w:pPr>
            <w:r>
              <w:rPr>
                <w:rFonts w:hint="eastAsia"/>
                <w:sz w:val="22"/>
                <w:szCs w:val="22"/>
              </w:rPr>
              <w:t>表</w:t>
            </w:r>
            <w:r>
              <w:rPr>
                <w:rFonts w:hint="eastAsia"/>
                <w:sz w:val="22"/>
                <w:szCs w:val="22"/>
                <w:lang w:val="en-US" w:eastAsia="zh-CN"/>
              </w:rPr>
              <w:t xml:space="preserve">8 </w:t>
            </w:r>
            <w:r>
              <w:rPr>
                <w:sz w:val="22"/>
                <w:szCs w:val="22"/>
              </w:rPr>
              <w:t>本项目与《废矿物油回收管理规范》（T/CRRA 0902-2020）符合性分析</w:t>
            </w:r>
          </w:p>
          <w:p/>
          <w:tbl>
            <w:tblPr>
              <w:tblStyle w:val="26"/>
              <w:tblW w:w="8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3086"/>
              <w:gridCol w:w="207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tcBorders>
                    <w:top w:val="single" w:color="auto" w:sz="12" w:space="0"/>
                  </w:tcBorders>
                  <w:vAlign w:val="center"/>
                </w:tcPr>
                <w:p>
                  <w:pPr>
                    <w:jc w:val="center"/>
                    <w:rPr>
                      <w:rFonts w:ascii="宋体" w:hAnsi="宋体"/>
                      <w:b/>
                      <w:szCs w:val="21"/>
                    </w:rPr>
                  </w:pPr>
                  <w:r>
                    <w:rPr>
                      <w:b/>
                      <w:bCs/>
                      <w:color w:val="000000" w:themeColor="text1"/>
                      <w:szCs w:val="21"/>
                    </w:rPr>
                    <w:t>项目</w:t>
                  </w:r>
                </w:p>
              </w:tc>
              <w:tc>
                <w:tcPr>
                  <w:tcW w:w="3086" w:type="dxa"/>
                  <w:tcBorders>
                    <w:top w:val="single" w:color="auto" w:sz="12" w:space="0"/>
                  </w:tcBorders>
                  <w:vAlign w:val="center"/>
                </w:tcPr>
                <w:p>
                  <w:pPr>
                    <w:jc w:val="center"/>
                    <w:rPr>
                      <w:rFonts w:ascii="宋体" w:hAnsi="宋体"/>
                      <w:b/>
                      <w:szCs w:val="21"/>
                    </w:rPr>
                  </w:pPr>
                  <w:r>
                    <w:rPr>
                      <w:b/>
                      <w:bCs/>
                      <w:color w:val="000000" w:themeColor="text1"/>
                      <w:szCs w:val="21"/>
                    </w:rPr>
                    <w:t>规范要求</w:t>
                  </w:r>
                </w:p>
              </w:tc>
              <w:tc>
                <w:tcPr>
                  <w:tcW w:w="2071" w:type="dxa"/>
                  <w:tcBorders>
                    <w:top w:val="single" w:color="auto" w:sz="12" w:space="0"/>
                  </w:tcBorders>
                  <w:vAlign w:val="center"/>
                </w:tcPr>
                <w:p>
                  <w:pPr>
                    <w:jc w:val="center"/>
                    <w:rPr>
                      <w:rFonts w:ascii="宋体" w:hAnsi="宋体"/>
                      <w:b/>
                      <w:szCs w:val="21"/>
                    </w:rPr>
                  </w:pPr>
                  <w:r>
                    <w:rPr>
                      <w:b/>
                      <w:bCs/>
                      <w:color w:val="000000" w:themeColor="text1"/>
                      <w:szCs w:val="21"/>
                    </w:rPr>
                    <w:t>本项目</w:t>
                  </w:r>
                </w:p>
              </w:tc>
              <w:tc>
                <w:tcPr>
                  <w:tcW w:w="876" w:type="dxa"/>
                  <w:tcBorders>
                    <w:top w:val="single" w:color="auto" w:sz="12" w:space="0"/>
                    <w:right w:val="nil"/>
                  </w:tcBorders>
                  <w:vAlign w:val="center"/>
                </w:tcPr>
                <w:p>
                  <w:pPr>
                    <w:jc w:val="center"/>
                    <w:rPr>
                      <w:rFonts w:ascii="宋体" w:hAnsi="宋体"/>
                      <w:b/>
                      <w:szCs w:val="21"/>
                    </w:rPr>
                  </w:pPr>
                  <w:r>
                    <w:rPr>
                      <w:b/>
                      <w:bCs/>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restart"/>
                  <w:tcBorders>
                    <w:left w:val="nil"/>
                  </w:tcBorders>
                </w:tcPr>
                <w:p>
                  <w:pPr>
                    <w:pStyle w:val="2"/>
                    <w:ind w:firstLine="0" w:firstLineChars="0"/>
                    <w:jc w:val="center"/>
                    <w:rPr>
                      <w:color w:val="000000" w:themeColor="text1"/>
                      <w:sz w:val="21"/>
                      <w:szCs w:val="21"/>
                    </w:rPr>
                  </w:pPr>
                </w:p>
                <w:p>
                  <w:pPr>
                    <w:pStyle w:val="2"/>
                    <w:ind w:firstLine="0" w:firstLineChars="0"/>
                    <w:jc w:val="center"/>
                    <w:rPr>
                      <w:color w:val="000000" w:themeColor="text1"/>
                      <w:sz w:val="21"/>
                      <w:szCs w:val="21"/>
                    </w:rPr>
                  </w:pPr>
                  <w:r>
                    <w:rPr>
                      <w:color w:val="000000" w:themeColor="text1"/>
                      <w:sz w:val="21"/>
                      <w:szCs w:val="21"/>
                    </w:rPr>
                    <w:t>废矿物油</w:t>
                  </w:r>
                </w:p>
                <w:p>
                  <w:pPr>
                    <w:pStyle w:val="2"/>
                    <w:ind w:firstLine="0" w:firstLineChars="0"/>
                    <w:jc w:val="center"/>
                    <w:rPr>
                      <w:b/>
                      <w:sz w:val="21"/>
                      <w:szCs w:val="21"/>
                    </w:rPr>
                  </w:pPr>
                  <w:r>
                    <w:rPr>
                      <w:color w:val="000000" w:themeColor="text1"/>
                      <w:sz w:val="21"/>
                      <w:szCs w:val="21"/>
                    </w:rPr>
                    <w:t>贮存台账要求</w:t>
                  </w:r>
                </w:p>
              </w:tc>
              <w:tc>
                <w:tcPr>
                  <w:tcW w:w="3086" w:type="dxa"/>
                  <w:vAlign w:val="center"/>
                </w:tcPr>
                <w:p>
                  <w:pPr>
                    <w:rPr>
                      <w:rFonts w:ascii="宋体" w:hAnsi="宋体"/>
                      <w:b/>
                      <w:szCs w:val="21"/>
                    </w:rPr>
                  </w:pPr>
                  <w:r>
                    <w:rPr>
                      <w:color w:val="000000" w:themeColor="text1"/>
                      <w:szCs w:val="21"/>
                    </w:rPr>
                    <w:t>废矿物油产生单位和收集单位</w:t>
                  </w:r>
                  <w:r>
                    <w:rPr>
                      <w:rFonts w:hint="eastAsia"/>
                      <w:color w:val="000000" w:themeColor="text1"/>
                      <w:szCs w:val="21"/>
                    </w:rPr>
                    <w:t>（</w:t>
                  </w:r>
                  <w:r>
                    <w:rPr>
                      <w:color w:val="000000" w:themeColor="text1"/>
                      <w:szCs w:val="21"/>
                    </w:rPr>
                    <w:t>包含持有废矿物油危险废物收集证或综合证单位</w:t>
                  </w:r>
                  <w:r>
                    <w:rPr>
                      <w:rFonts w:hint="eastAsia"/>
                      <w:color w:val="000000" w:themeColor="text1"/>
                      <w:szCs w:val="21"/>
                    </w:rPr>
                    <w:t>）</w:t>
                  </w:r>
                  <w:r>
                    <w:rPr>
                      <w:color w:val="000000" w:themeColor="text1"/>
                      <w:szCs w:val="21"/>
                    </w:rPr>
                    <w:t>应建有废矿物油贮存台账。</w:t>
                  </w:r>
                </w:p>
              </w:tc>
              <w:tc>
                <w:tcPr>
                  <w:tcW w:w="2071" w:type="dxa"/>
                  <w:vMerge w:val="restart"/>
                  <w:vAlign w:val="center"/>
                </w:tcPr>
                <w:p>
                  <w:pPr>
                    <w:rPr>
                      <w:color w:val="000000" w:themeColor="text1"/>
                      <w:szCs w:val="21"/>
                    </w:rPr>
                  </w:pPr>
                  <w:r>
                    <w:rPr>
                      <w:rFonts w:hint="eastAsia"/>
                      <w:color w:val="000000" w:themeColor="text1"/>
                      <w:szCs w:val="21"/>
                    </w:rPr>
                    <w:t>企业应</w:t>
                  </w:r>
                  <w:r>
                    <w:rPr>
                      <w:color w:val="000000" w:themeColor="text1"/>
                      <w:szCs w:val="21"/>
                    </w:rPr>
                    <w:t>对于回收的废机油均进行台账记录并保存5年</w:t>
                  </w:r>
                  <w:r>
                    <w:rPr>
                      <w:rFonts w:hint="eastAsia"/>
                      <w:color w:val="000000" w:themeColor="text1"/>
                      <w:szCs w:val="21"/>
                    </w:rPr>
                    <w:t>。</w:t>
                  </w:r>
                </w:p>
              </w:tc>
              <w:tc>
                <w:tcPr>
                  <w:tcW w:w="876" w:type="dxa"/>
                  <w:vMerge w:val="restart"/>
                  <w:tcBorders>
                    <w:right w:val="nil"/>
                  </w:tcBorders>
                  <w:vAlign w:val="center"/>
                </w:tcPr>
                <w:p>
                  <w:pPr>
                    <w:jc w:val="center"/>
                    <w:rPr>
                      <w:color w:val="000000" w:themeColor="text1"/>
                      <w:szCs w:val="21"/>
                    </w:rPr>
                  </w:pPr>
                  <w:r>
                    <w:rPr>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left w:val="nil"/>
                  </w:tcBorders>
                </w:tcPr>
                <w:p>
                  <w:pPr>
                    <w:pStyle w:val="2"/>
                    <w:ind w:firstLine="422"/>
                    <w:rPr>
                      <w:b/>
                      <w:sz w:val="21"/>
                      <w:szCs w:val="21"/>
                    </w:rPr>
                  </w:pPr>
                </w:p>
              </w:tc>
              <w:tc>
                <w:tcPr>
                  <w:tcW w:w="3086" w:type="dxa"/>
                  <w:vAlign w:val="center"/>
                </w:tcPr>
                <w:p>
                  <w:pPr>
                    <w:rPr>
                      <w:rFonts w:ascii="宋体" w:hAnsi="宋体"/>
                      <w:b/>
                      <w:szCs w:val="21"/>
                    </w:rPr>
                  </w:pPr>
                  <w:r>
                    <w:rPr>
                      <w:color w:val="000000" w:themeColor="text1"/>
                      <w:szCs w:val="21"/>
                    </w:rPr>
                    <w:t>废矿物油贮存台账应与转移联单一起保存，保存期限为5年</w:t>
                  </w:r>
                </w:p>
              </w:tc>
              <w:tc>
                <w:tcPr>
                  <w:tcW w:w="2071" w:type="dxa"/>
                  <w:vMerge w:val="continue"/>
                </w:tcPr>
                <w:p>
                  <w:pPr>
                    <w:pStyle w:val="2"/>
                    <w:ind w:firstLine="422"/>
                    <w:rPr>
                      <w:b/>
                      <w:sz w:val="21"/>
                      <w:szCs w:val="21"/>
                    </w:rPr>
                  </w:pPr>
                </w:p>
              </w:tc>
              <w:tc>
                <w:tcPr>
                  <w:tcW w:w="876" w:type="dxa"/>
                  <w:vMerge w:val="continue"/>
                  <w:tcBorders>
                    <w:right w:val="nil"/>
                  </w:tcBorders>
                </w:tcPr>
                <w:p>
                  <w:pPr>
                    <w:pStyle w:val="2"/>
                    <w:ind w:firstLine="422"/>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restart"/>
                  <w:tcBorders>
                    <w:left w:val="nil"/>
                  </w:tcBorders>
                </w:tcPr>
                <w:p>
                  <w:pPr>
                    <w:pStyle w:val="2"/>
                    <w:ind w:firstLine="0" w:firstLineChars="0"/>
                    <w:rPr>
                      <w:rFonts w:asciiTheme="minorHAnsi" w:hAnsiTheme="minorHAnsi" w:cstheme="minorBidi"/>
                      <w:color w:val="000000" w:themeColor="text1"/>
                      <w:sz w:val="21"/>
                      <w:szCs w:val="21"/>
                    </w:rPr>
                  </w:pPr>
                </w:p>
                <w:p>
                  <w:pPr>
                    <w:pStyle w:val="2"/>
                    <w:ind w:firstLine="0" w:firstLineChars="0"/>
                    <w:rPr>
                      <w:rFonts w:asciiTheme="minorHAnsi" w:hAnsiTheme="minorHAnsi" w:cstheme="minorBidi"/>
                      <w:color w:val="000000" w:themeColor="text1"/>
                      <w:sz w:val="21"/>
                      <w:szCs w:val="21"/>
                    </w:rPr>
                  </w:pPr>
                </w:p>
                <w:p>
                  <w:pPr>
                    <w:pStyle w:val="2"/>
                    <w:ind w:firstLine="0" w:firstLineChars="0"/>
                    <w:rPr>
                      <w:rFonts w:asciiTheme="minorHAnsi" w:hAnsiTheme="minorHAnsi" w:cstheme="minorBidi"/>
                      <w:color w:val="000000" w:themeColor="text1"/>
                      <w:sz w:val="21"/>
                      <w:szCs w:val="21"/>
                    </w:rPr>
                  </w:pPr>
                </w:p>
                <w:p>
                  <w:pPr>
                    <w:pStyle w:val="2"/>
                    <w:ind w:firstLine="0" w:firstLineChars="0"/>
                    <w:rPr>
                      <w:rFonts w:asciiTheme="minorHAnsi" w:hAnsiTheme="minorHAnsi" w:cstheme="minorBidi"/>
                      <w:color w:val="000000" w:themeColor="text1"/>
                      <w:sz w:val="21"/>
                      <w:szCs w:val="21"/>
                    </w:rPr>
                  </w:pPr>
                </w:p>
                <w:p>
                  <w:pPr>
                    <w:pStyle w:val="2"/>
                    <w:ind w:firstLine="0" w:firstLineChars="0"/>
                    <w:jc w:val="center"/>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废矿物油</w:t>
                  </w:r>
                </w:p>
                <w:p>
                  <w:pPr>
                    <w:pStyle w:val="2"/>
                    <w:ind w:firstLine="0" w:firstLineChars="0"/>
                    <w:jc w:val="center"/>
                    <w:rPr>
                      <w:b/>
                      <w:sz w:val="21"/>
                      <w:szCs w:val="21"/>
                    </w:rPr>
                  </w:pPr>
                  <w:r>
                    <w:rPr>
                      <w:rFonts w:asciiTheme="minorHAnsi" w:hAnsiTheme="minorHAnsi" w:cstheme="minorBidi"/>
                      <w:color w:val="000000" w:themeColor="text1"/>
                      <w:sz w:val="21"/>
                      <w:szCs w:val="21"/>
                    </w:rPr>
                    <w:t>收集单位要求</w:t>
                  </w:r>
                </w:p>
              </w:tc>
              <w:tc>
                <w:tcPr>
                  <w:tcW w:w="3086" w:type="dxa"/>
                  <w:vAlign w:val="center"/>
                </w:tcPr>
                <w:p>
                  <w:pPr>
                    <w:rPr>
                      <w:rFonts w:ascii="宋体" w:hAnsi="宋体"/>
                      <w:b/>
                      <w:szCs w:val="21"/>
                    </w:rPr>
                  </w:pPr>
                  <w:r>
                    <w:rPr>
                      <w:color w:val="000000" w:themeColor="text1"/>
                      <w:szCs w:val="21"/>
                    </w:rPr>
                    <w:t>废矿物油收集单位</w:t>
                  </w:r>
                  <w:r>
                    <w:rPr>
                      <w:rFonts w:hint="eastAsia"/>
                      <w:color w:val="000000" w:themeColor="text1"/>
                      <w:szCs w:val="21"/>
                    </w:rPr>
                    <w:t>（</w:t>
                  </w:r>
                  <w:r>
                    <w:rPr>
                      <w:color w:val="000000" w:themeColor="text1"/>
                      <w:szCs w:val="21"/>
                    </w:rPr>
                    <w:t>包含持有废矿物油危险废物收集证或综合证单位</w:t>
                  </w:r>
                  <w:r>
                    <w:rPr>
                      <w:rFonts w:hint="eastAsia"/>
                      <w:color w:val="000000" w:themeColor="text1"/>
                      <w:szCs w:val="21"/>
                    </w:rPr>
                    <w:t>）</w:t>
                  </w:r>
                  <w:r>
                    <w:rPr>
                      <w:color w:val="000000" w:themeColor="text1"/>
                      <w:szCs w:val="21"/>
                    </w:rPr>
                    <w:t>应建设与本单位允许收集量相称的固定的废矿物油贮存设施与贮存容器，废矿物油贮存容器的最小容量应根据平均</w:t>
                  </w:r>
                  <w:r>
                    <w:rPr>
                      <w:color w:val="000000" w:themeColor="text1"/>
                      <w:spacing w:val="-11"/>
                      <w:szCs w:val="21"/>
                    </w:rPr>
                    <w:t>15天收集量的最小需用容量设定</w:t>
                  </w:r>
                  <w:r>
                    <w:rPr>
                      <w:color w:val="000000" w:themeColor="text1"/>
                      <w:szCs w:val="21"/>
                    </w:rPr>
                    <w:t>。</w:t>
                  </w:r>
                </w:p>
              </w:tc>
              <w:tc>
                <w:tcPr>
                  <w:tcW w:w="2071" w:type="dxa"/>
                  <w:vAlign w:val="center"/>
                </w:tcPr>
                <w:p>
                  <w:pPr>
                    <w:rPr>
                      <w:color w:val="000000" w:themeColor="text1"/>
                      <w:szCs w:val="21"/>
                    </w:rPr>
                  </w:pPr>
                  <w:r>
                    <w:rPr>
                      <w:color w:val="000000" w:themeColor="text1"/>
                      <w:szCs w:val="21"/>
                    </w:rPr>
                    <w:t>本项目设置</w:t>
                  </w:r>
                  <w:r>
                    <w:rPr>
                      <w:rFonts w:hint="eastAsia"/>
                      <w:color w:val="000000" w:themeColor="text1"/>
                      <w:szCs w:val="21"/>
                    </w:rPr>
                    <w:t>1</w:t>
                  </w:r>
                  <w:r>
                    <w:rPr>
                      <w:color w:val="000000" w:themeColor="text1"/>
                      <w:szCs w:val="21"/>
                    </w:rPr>
                    <w:t>个储罐</w:t>
                  </w:r>
                  <w:r>
                    <w:rPr>
                      <w:rFonts w:hint="eastAsia"/>
                      <w:color w:val="000000" w:themeColor="text1"/>
                      <w:szCs w:val="21"/>
                    </w:rPr>
                    <w:t>（共计1</w:t>
                  </w:r>
                  <w:r>
                    <w:rPr>
                      <w:rFonts w:hint="eastAsia"/>
                      <w:color w:val="000000" w:themeColor="text1"/>
                      <w:szCs w:val="21"/>
                      <w:lang w:val="en-US" w:eastAsia="zh-CN"/>
                    </w:rPr>
                    <w:t>2</w:t>
                  </w:r>
                  <w:r>
                    <w:rPr>
                      <w:rFonts w:hint="eastAsia"/>
                      <w:color w:val="000000" w:themeColor="text1"/>
                      <w:szCs w:val="21"/>
                    </w:rPr>
                    <w:t>m</w:t>
                  </w:r>
                  <w:r>
                    <w:rPr>
                      <w:rFonts w:hint="eastAsia"/>
                      <w:color w:val="000000" w:themeColor="text1"/>
                      <w:szCs w:val="21"/>
                      <w:vertAlign w:val="superscript"/>
                    </w:rPr>
                    <w:t>3</w:t>
                  </w:r>
                  <w:r>
                    <w:rPr>
                      <w:rFonts w:hint="eastAsia"/>
                      <w:color w:val="000000" w:themeColor="text1"/>
                      <w:szCs w:val="21"/>
                    </w:rPr>
                    <w:t>）储存</w:t>
                  </w:r>
                  <w:r>
                    <w:rPr>
                      <w:color w:val="000000" w:themeColor="text1"/>
                      <w:szCs w:val="21"/>
                    </w:rPr>
                    <w:t>废机油</w:t>
                  </w:r>
                  <w:r>
                    <w:rPr>
                      <w:rFonts w:hint="eastAsia"/>
                      <w:color w:val="000000" w:themeColor="text1"/>
                      <w:szCs w:val="21"/>
                    </w:rPr>
                    <w:t>，</w:t>
                  </w:r>
                  <w:r>
                    <w:rPr>
                      <w:color w:val="000000" w:themeColor="text1"/>
                      <w:szCs w:val="21"/>
                    </w:rPr>
                    <w:t>可满足项目要求</w:t>
                  </w:r>
                </w:p>
              </w:tc>
              <w:tc>
                <w:tcPr>
                  <w:tcW w:w="876" w:type="dxa"/>
                  <w:tcBorders>
                    <w:right w:val="nil"/>
                  </w:tcBorders>
                </w:tcPr>
                <w:p>
                  <w:pPr>
                    <w:pStyle w:val="2"/>
                    <w:ind w:firstLine="420"/>
                    <w:rPr>
                      <w:color w:val="000000" w:themeColor="text1"/>
                      <w:sz w:val="21"/>
                      <w:szCs w:val="21"/>
                    </w:rPr>
                  </w:pPr>
                </w:p>
                <w:p>
                  <w:pPr>
                    <w:pStyle w:val="2"/>
                    <w:ind w:firstLine="0" w:firstLineChars="0"/>
                    <w:jc w:val="center"/>
                    <w:rPr>
                      <w:b/>
                      <w:sz w:val="21"/>
                      <w:szCs w:val="21"/>
                    </w:rPr>
                  </w:pPr>
                  <w:r>
                    <w:rPr>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left w:val="nil"/>
                  </w:tcBorders>
                </w:tcPr>
                <w:p>
                  <w:pPr>
                    <w:pStyle w:val="2"/>
                    <w:ind w:firstLine="422"/>
                    <w:rPr>
                      <w:b/>
                      <w:sz w:val="21"/>
                      <w:szCs w:val="21"/>
                    </w:rPr>
                  </w:pPr>
                </w:p>
              </w:tc>
              <w:tc>
                <w:tcPr>
                  <w:tcW w:w="3086" w:type="dxa"/>
                  <w:vAlign w:val="center"/>
                </w:tcPr>
                <w:p>
                  <w:pPr>
                    <w:rPr>
                      <w:rFonts w:ascii="宋体" w:hAnsi="宋体"/>
                      <w:b/>
                      <w:szCs w:val="21"/>
                    </w:rPr>
                  </w:pPr>
                  <w:r>
                    <w:rPr>
                      <w:color w:val="000000" w:themeColor="text1"/>
                      <w:szCs w:val="21"/>
                    </w:rPr>
                    <w:t>固定废矿物油贮存设施的选址应符合GB 18597的规定。贮存设施防晒、防雨、防渗及贮存容器的合格要求应符合GB18597规定。废矿物油贮存方式应符合GB18597规定，容器顶部与液体表面之间应保留100mm以上的空间。</w:t>
                  </w:r>
                </w:p>
              </w:tc>
              <w:tc>
                <w:tcPr>
                  <w:tcW w:w="2071" w:type="dxa"/>
                  <w:vAlign w:val="center"/>
                </w:tcPr>
                <w:p>
                  <w:pPr>
                    <w:rPr>
                      <w:color w:val="000000" w:themeColor="text1"/>
                      <w:szCs w:val="21"/>
                    </w:rPr>
                  </w:pPr>
                  <w:r>
                    <w:rPr>
                      <w:color w:val="000000" w:themeColor="text1"/>
                      <w:szCs w:val="21"/>
                    </w:rPr>
                    <w:t>本项目选址所在地、贮存设施及贮存方式满足</w:t>
                  </w:r>
                  <w:r>
                    <w:rPr>
                      <w:rFonts w:hint="eastAsia"/>
                      <w:color w:val="000000" w:themeColor="text1"/>
                      <w:szCs w:val="21"/>
                    </w:rPr>
                    <w:t xml:space="preserve">GB </w:t>
                  </w:r>
                </w:p>
                <w:p>
                  <w:pPr>
                    <w:rPr>
                      <w:color w:val="000000" w:themeColor="text1"/>
                      <w:szCs w:val="21"/>
                    </w:rPr>
                  </w:pPr>
                  <w:r>
                    <w:rPr>
                      <w:rFonts w:hint="eastAsia"/>
                      <w:color w:val="000000" w:themeColor="text1"/>
                      <w:szCs w:val="21"/>
                    </w:rPr>
                    <w:t>18597-2001</w:t>
                  </w:r>
                  <w:r>
                    <w:rPr>
                      <w:color w:val="000000" w:themeColor="text1"/>
                      <w:szCs w:val="21"/>
                    </w:rPr>
                    <w:t>的规定</w:t>
                  </w:r>
                  <w:r>
                    <w:rPr>
                      <w:rFonts w:hint="eastAsia"/>
                      <w:color w:val="000000" w:themeColor="text1"/>
                      <w:szCs w:val="21"/>
                    </w:rPr>
                    <w:t>。</w:t>
                  </w:r>
                </w:p>
              </w:tc>
              <w:tc>
                <w:tcPr>
                  <w:tcW w:w="876" w:type="dxa"/>
                  <w:tcBorders>
                    <w:right w:val="nil"/>
                  </w:tcBorders>
                </w:tcPr>
                <w:p>
                  <w:pPr>
                    <w:pStyle w:val="2"/>
                    <w:ind w:firstLine="420"/>
                    <w:jc w:val="center"/>
                    <w:rPr>
                      <w:color w:val="000000" w:themeColor="text1"/>
                      <w:sz w:val="21"/>
                      <w:szCs w:val="21"/>
                    </w:rPr>
                  </w:pPr>
                </w:p>
                <w:p>
                  <w:pPr>
                    <w:pStyle w:val="2"/>
                    <w:ind w:firstLine="0" w:firstLineChars="0"/>
                    <w:jc w:val="center"/>
                    <w:rPr>
                      <w:b/>
                      <w:sz w:val="21"/>
                      <w:szCs w:val="21"/>
                    </w:rPr>
                  </w:pPr>
                  <w:r>
                    <w:rPr>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left w:val="nil"/>
                  </w:tcBorders>
                </w:tcPr>
                <w:p>
                  <w:pPr>
                    <w:pStyle w:val="2"/>
                    <w:ind w:firstLine="422"/>
                    <w:rPr>
                      <w:b/>
                      <w:sz w:val="21"/>
                      <w:szCs w:val="21"/>
                    </w:rPr>
                  </w:pPr>
                </w:p>
              </w:tc>
              <w:tc>
                <w:tcPr>
                  <w:tcW w:w="3086" w:type="dxa"/>
                  <w:vAlign w:val="center"/>
                </w:tcPr>
                <w:p>
                  <w:pPr>
                    <w:rPr>
                      <w:rFonts w:ascii="宋体" w:hAnsi="宋体"/>
                      <w:b/>
                      <w:szCs w:val="21"/>
                    </w:rPr>
                  </w:pPr>
                  <w:r>
                    <w:rPr>
                      <w:color w:val="000000" w:themeColor="text1"/>
                      <w:szCs w:val="21"/>
                    </w:rPr>
                    <w:t>废矿物油贮存设施与贮存容器的安全要求应符合GB 50074 规定。</w:t>
                  </w:r>
                </w:p>
              </w:tc>
              <w:tc>
                <w:tcPr>
                  <w:tcW w:w="2071" w:type="dxa"/>
                  <w:vAlign w:val="center"/>
                </w:tcPr>
                <w:p>
                  <w:pPr>
                    <w:rPr>
                      <w:color w:val="000000" w:themeColor="text1"/>
                      <w:szCs w:val="21"/>
                    </w:rPr>
                  </w:pPr>
                  <w:r>
                    <w:rPr>
                      <w:color w:val="000000" w:themeColor="text1"/>
                      <w:szCs w:val="21"/>
                    </w:rPr>
                    <w:t>本项目采用储罐</w:t>
                  </w:r>
                  <w:r>
                    <w:rPr>
                      <w:rFonts w:hint="eastAsia"/>
                      <w:color w:val="000000" w:themeColor="text1"/>
                      <w:szCs w:val="21"/>
                    </w:rPr>
                    <w:t>储存</w:t>
                  </w:r>
                  <w:r>
                    <w:rPr>
                      <w:color w:val="000000" w:themeColor="text1"/>
                      <w:szCs w:val="21"/>
                    </w:rPr>
                    <w:t>废机油，可满足要求</w:t>
                  </w:r>
                  <w:r>
                    <w:rPr>
                      <w:rFonts w:hint="eastAsia"/>
                      <w:color w:val="000000" w:themeColor="text1"/>
                      <w:szCs w:val="21"/>
                    </w:rPr>
                    <w:t>。</w:t>
                  </w:r>
                </w:p>
              </w:tc>
              <w:tc>
                <w:tcPr>
                  <w:tcW w:w="876" w:type="dxa"/>
                  <w:tcBorders>
                    <w:right w:val="nil"/>
                  </w:tcBorders>
                </w:tcPr>
                <w:p>
                  <w:pPr>
                    <w:pStyle w:val="2"/>
                    <w:ind w:firstLine="0" w:firstLineChars="0"/>
                    <w:jc w:val="center"/>
                    <w:rPr>
                      <w:b/>
                      <w:sz w:val="21"/>
                      <w:szCs w:val="21"/>
                    </w:rPr>
                  </w:pPr>
                  <w:r>
                    <w:rPr>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left w:val="nil"/>
                  </w:tcBorders>
                </w:tcPr>
                <w:p>
                  <w:pPr>
                    <w:pStyle w:val="2"/>
                    <w:ind w:firstLine="422"/>
                    <w:rPr>
                      <w:b/>
                      <w:sz w:val="21"/>
                      <w:szCs w:val="21"/>
                    </w:rPr>
                  </w:pPr>
                </w:p>
              </w:tc>
              <w:tc>
                <w:tcPr>
                  <w:tcW w:w="3086" w:type="dxa"/>
                  <w:vAlign w:val="center"/>
                </w:tcPr>
                <w:p>
                  <w:pPr>
                    <w:rPr>
                      <w:rFonts w:ascii="宋体" w:hAnsi="宋体"/>
                      <w:b/>
                      <w:szCs w:val="21"/>
                    </w:rPr>
                  </w:pPr>
                  <w:r>
                    <w:rPr>
                      <w:color w:val="000000" w:themeColor="text1"/>
                      <w:szCs w:val="21"/>
                    </w:rPr>
                    <w:t>废矿物油贮存设施与贮存容器的无组织气体排放应符合GB 37822规定。</w:t>
                  </w:r>
                </w:p>
              </w:tc>
              <w:tc>
                <w:tcPr>
                  <w:tcW w:w="2071" w:type="dxa"/>
                  <w:vAlign w:val="center"/>
                </w:tcPr>
                <w:p>
                  <w:pPr>
                    <w:spacing w:line="240" w:lineRule="exact"/>
                    <w:rPr>
                      <w:color w:val="000000" w:themeColor="text1"/>
                      <w:szCs w:val="21"/>
                    </w:rPr>
                  </w:pPr>
                  <w:r>
                    <w:rPr>
                      <w:color w:val="000000" w:themeColor="text1"/>
                      <w:szCs w:val="21"/>
                    </w:rPr>
                    <w:t>本项目废气产生量较小，</w:t>
                  </w:r>
                  <w:r>
                    <w:rPr>
                      <w:rFonts w:hint="eastAsia"/>
                      <w:color w:val="000000" w:themeColor="text1"/>
                      <w:szCs w:val="21"/>
                    </w:rPr>
                    <w:t>非甲烷总烃</w:t>
                  </w:r>
                  <w:r>
                    <w:rPr>
                      <w:color w:val="000000" w:themeColor="text1"/>
                      <w:szCs w:val="21"/>
                    </w:rPr>
                    <w:t>排放可满足《挥发性有机物无组织排放控制标准》</w:t>
                  </w:r>
                  <w:r>
                    <w:rPr>
                      <w:rFonts w:hint="eastAsia"/>
                      <w:color w:val="000000" w:themeColor="text1"/>
                      <w:szCs w:val="21"/>
                    </w:rPr>
                    <w:t>（</w:t>
                  </w:r>
                  <w:r>
                    <w:rPr>
                      <w:color w:val="000000" w:themeColor="text1"/>
                      <w:szCs w:val="21"/>
                    </w:rPr>
                    <w:t>GB 37822-2019</w:t>
                  </w:r>
                  <w:r>
                    <w:rPr>
                      <w:rFonts w:hint="eastAsia"/>
                      <w:color w:val="000000" w:themeColor="text1"/>
                      <w:szCs w:val="21"/>
                    </w:rPr>
                    <w:t>）。</w:t>
                  </w:r>
                </w:p>
              </w:tc>
              <w:tc>
                <w:tcPr>
                  <w:tcW w:w="876" w:type="dxa"/>
                  <w:tcBorders>
                    <w:right w:val="nil"/>
                  </w:tcBorders>
                </w:tcPr>
                <w:p>
                  <w:pPr>
                    <w:pStyle w:val="2"/>
                    <w:ind w:firstLine="0" w:firstLineChars="0"/>
                    <w:jc w:val="center"/>
                    <w:rPr>
                      <w:b/>
                      <w:sz w:val="21"/>
                      <w:szCs w:val="21"/>
                    </w:rPr>
                  </w:pPr>
                  <w:r>
                    <w:rPr>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restart"/>
                  <w:tcBorders>
                    <w:left w:val="nil"/>
                    <w:bottom w:val="single" w:color="auto" w:sz="12" w:space="0"/>
                  </w:tcBorders>
                  <w:vAlign w:val="center"/>
                </w:tcPr>
                <w:p>
                  <w:pPr>
                    <w:rPr>
                      <w:color w:val="000000" w:themeColor="text1"/>
                      <w:szCs w:val="21"/>
                    </w:rPr>
                  </w:pPr>
                  <w:r>
                    <w:rPr>
                      <w:color w:val="000000" w:themeColor="text1"/>
                      <w:szCs w:val="21"/>
                    </w:rPr>
                    <w:t>废矿物油转移、运输环节的管理要求</w:t>
                  </w:r>
                </w:p>
              </w:tc>
              <w:tc>
                <w:tcPr>
                  <w:tcW w:w="3086" w:type="dxa"/>
                  <w:vAlign w:val="center"/>
                </w:tcPr>
                <w:p>
                  <w:pPr>
                    <w:rPr>
                      <w:color w:val="000000" w:themeColor="text1"/>
                      <w:szCs w:val="21"/>
                    </w:rPr>
                  </w:pPr>
                  <w:r>
                    <w:rPr>
                      <w:color w:val="000000" w:themeColor="text1"/>
                      <w:szCs w:val="21"/>
                    </w:rPr>
                    <w:t>废矿物油收集单位和利用单位应与废矿物油产生单位签订定期回收废矿物油的回收合同。双方签订的废矿物油回收合同应与废矿物油产生单位废矿物油产生台账和转移联单一起保存，保存期限为5年。</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rPr>
                  </w:pPr>
                  <w:r>
                    <w:rPr>
                      <w:rFonts w:hint="eastAsia"/>
                      <w:color w:val="000000" w:themeColor="text1"/>
                      <w:szCs w:val="21"/>
                    </w:rPr>
                    <w:t>本单位</w:t>
                  </w:r>
                  <w:r>
                    <w:rPr>
                      <w:color w:val="000000" w:themeColor="text1"/>
                      <w:szCs w:val="21"/>
                    </w:rPr>
                    <w:t>和废矿物油产生单位签订定期回收废矿物油的回收合同。双方签订的废矿物油回收合同应与废矿物油产生单位废矿物油产生台账和转移联单一起保存，保存期限为5年</w:t>
                  </w:r>
                  <w:r>
                    <w:rPr>
                      <w:rFonts w:hint="eastAsia"/>
                      <w:color w:val="000000" w:themeColor="text1"/>
                      <w:szCs w:val="21"/>
                    </w:rPr>
                    <w:t>。</w:t>
                  </w:r>
                </w:p>
              </w:tc>
              <w:tc>
                <w:tcPr>
                  <w:tcW w:w="876" w:type="dxa"/>
                  <w:tcBorders>
                    <w:right w:val="nil"/>
                  </w:tcBorders>
                  <w:vAlign w:val="center"/>
                </w:tcPr>
                <w:p>
                  <w:pPr>
                    <w:jc w:val="center"/>
                    <w:rPr>
                      <w:color w:val="000000" w:themeColor="text1"/>
                      <w:szCs w:val="21"/>
                    </w:rPr>
                  </w:pPr>
                  <w:r>
                    <w:rPr>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top w:val="single" w:color="auto" w:sz="12" w:space="0"/>
                    <w:left w:val="nil"/>
                    <w:bottom w:val="single" w:color="auto" w:sz="12" w:space="0"/>
                  </w:tcBorders>
                </w:tcPr>
                <w:p>
                  <w:pPr>
                    <w:pStyle w:val="2"/>
                    <w:ind w:firstLine="422"/>
                    <w:rPr>
                      <w:b/>
                      <w:sz w:val="21"/>
                      <w:szCs w:val="21"/>
                    </w:rPr>
                  </w:pPr>
                </w:p>
              </w:tc>
              <w:tc>
                <w:tcPr>
                  <w:tcW w:w="3086" w:type="dxa"/>
                  <w:vAlign w:val="center"/>
                </w:tcPr>
                <w:p>
                  <w:pPr>
                    <w:rPr>
                      <w:rFonts w:hint="eastAsia" w:eastAsiaTheme="minorEastAsia"/>
                      <w:color w:val="000000" w:themeColor="text1"/>
                      <w:szCs w:val="21"/>
                      <w:lang w:eastAsia="zh-CN"/>
                    </w:rPr>
                  </w:pPr>
                  <w:r>
                    <w:rPr>
                      <w:color w:val="000000" w:themeColor="text1"/>
                      <w:szCs w:val="21"/>
                    </w:rPr>
                    <w:t>废矿物油收集单位向具有综合证单位转移废矿物油时，收集单位应与利用单位签订转移合同。双方签订的废矿物油转移合同应与废矿物油收集证单位的废矿物油贮存台账和转移联单一起保存，保存期限为5年</w:t>
                  </w:r>
                  <w:r>
                    <w:rPr>
                      <w:rFonts w:hint="eastAsia"/>
                      <w:color w:val="000000" w:themeColor="text1"/>
                      <w:szCs w:val="21"/>
                      <w:lang w:eastAsia="zh-CN"/>
                    </w:rPr>
                    <w:t>。</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rPr>
                  </w:pPr>
                  <w:r>
                    <w:rPr>
                      <w:color w:val="000000" w:themeColor="text1"/>
                      <w:szCs w:val="21"/>
                    </w:rPr>
                    <w:t>本</w:t>
                  </w:r>
                  <w:r>
                    <w:rPr>
                      <w:rFonts w:hint="eastAsia"/>
                      <w:color w:val="000000" w:themeColor="text1"/>
                      <w:szCs w:val="21"/>
                    </w:rPr>
                    <w:t>单位</w:t>
                  </w:r>
                  <w:r>
                    <w:rPr>
                      <w:color w:val="000000" w:themeColor="text1"/>
                      <w:szCs w:val="21"/>
                    </w:rPr>
                    <w:t>向具有综合证单位转移废矿物油时，</w:t>
                  </w:r>
                  <w:r>
                    <w:rPr>
                      <w:rFonts w:hint="eastAsia"/>
                      <w:color w:val="000000" w:themeColor="text1"/>
                      <w:szCs w:val="21"/>
                    </w:rPr>
                    <w:t>本</w:t>
                  </w:r>
                  <w:r>
                    <w:rPr>
                      <w:color w:val="000000" w:themeColor="text1"/>
                      <w:szCs w:val="21"/>
                    </w:rPr>
                    <w:t>单位应与利用单位签订转移合同。双方签订的废矿物油转移合同应与废矿物油收集证单位的废矿物油贮存台账和转移联单一</w:t>
                  </w:r>
                  <w:r>
                    <w:rPr>
                      <w:rFonts w:hint="default" w:asciiTheme="minorAscii" w:hAnsiTheme="minorAscii" w:eastAsiaTheme="minorEastAsia"/>
                      <w:color w:val="000000" w:themeColor="text1"/>
                      <w:spacing w:val="-17"/>
                      <w:sz w:val="21"/>
                      <w:szCs w:val="21"/>
                    </w:rPr>
                    <w:t>起保存，保存期限为5年</w:t>
                  </w:r>
                  <w:r>
                    <w:rPr>
                      <w:rFonts w:hint="eastAsia"/>
                      <w:color w:val="000000" w:themeColor="text1"/>
                      <w:szCs w:val="21"/>
                    </w:rPr>
                    <w:t>。</w:t>
                  </w:r>
                </w:p>
              </w:tc>
              <w:tc>
                <w:tcPr>
                  <w:tcW w:w="876" w:type="dxa"/>
                  <w:tcBorders>
                    <w:right w:val="nil"/>
                  </w:tcBorders>
                </w:tcPr>
                <w:p>
                  <w:pPr>
                    <w:pStyle w:val="2"/>
                    <w:ind w:firstLine="422"/>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0" w:type="dxa"/>
                  <w:vMerge w:val="continue"/>
                  <w:tcBorders>
                    <w:top w:val="single" w:color="auto" w:sz="12" w:space="0"/>
                    <w:left w:val="nil"/>
                    <w:bottom w:val="single" w:color="auto" w:sz="12" w:space="0"/>
                  </w:tcBorders>
                </w:tcPr>
                <w:p>
                  <w:pPr>
                    <w:pStyle w:val="2"/>
                    <w:ind w:firstLine="422"/>
                    <w:rPr>
                      <w:b/>
                      <w:sz w:val="21"/>
                      <w:szCs w:val="21"/>
                    </w:rPr>
                  </w:pPr>
                </w:p>
              </w:tc>
              <w:tc>
                <w:tcPr>
                  <w:tcW w:w="3086" w:type="dxa"/>
                  <w:tcBorders>
                    <w:bottom w:val="single" w:color="auto" w:sz="4" w:space="0"/>
                  </w:tcBorders>
                  <w:vAlign w:val="center"/>
                </w:tcPr>
                <w:p>
                  <w:pPr>
                    <w:rPr>
                      <w:rFonts w:hint="eastAsia" w:eastAsiaTheme="minorEastAsia"/>
                      <w:color w:val="000000" w:themeColor="text1"/>
                      <w:szCs w:val="21"/>
                      <w:lang w:eastAsia="zh-CN"/>
                    </w:rPr>
                  </w:pPr>
                  <w:r>
                    <w:rPr>
                      <w:color w:val="000000" w:themeColor="text1"/>
                      <w:szCs w:val="21"/>
                    </w:rPr>
                    <w:t>废矿物油的运输转移应遵循《危险废物转移联单管理办法》的相关规定，废矿物油收集单位和利用单位转移废矿物油时，应与具有危险废物运输资质或具有危险货物运营许可证单位签订运输转移委托合同，并遵循危险货物及危废运输管理的相关规定</w:t>
                  </w:r>
                  <w:r>
                    <w:rPr>
                      <w:rFonts w:hint="eastAsia"/>
                      <w:color w:val="000000" w:themeColor="text1"/>
                      <w:szCs w:val="21"/>
                      <w:lang w:eastAsia="zh-CN"/>
                    </w:rPr>
                    <w:t>。</w:t>
                  </w:r>
                </w:p>
              </w:tc>
              <w:tc>
                <w:tcPr>
                  <w:tcW w:w="2071" w:type="dxa"/>
                  <w:tcBorders>
                    <w:bottom w:val="single" w:color="auto" w:sz="4" w:space="0"/>
                  </w:tcBorders>
                  <w:vAlign w:val="center"/>
                </w:tcPr>
                <w:p>
                  <w:pPr>
                    <w:rPr>
                      <w:color w:val="000000" w:themeColor="text1"/>
                      <w:szCs w:val="21"/>
                    </w:rPr>
                  </w:pPr>
                  <w:r>
                    <w:rPr>
                      <w:color w:val="000000" w:themeColor="text1"/>
                      <w:szCs w:val="21"/>
                    </w:rPr>
                    <w:t>废矿物油的运输转移</w:t>
                  </w:r>
                  <w:r>
                    <w:rPr>
                      <w:rFonts w:hint="eastAsia"/>
                      <w:color w:val="000000" w:themeColor="text1"/>
                      <w:szCs w:val="21"/>
                    </w:rPr>
                    <w:t>需</w:t>
                  </w:r>
                  <w:r>
                    <w:rPr>
                      <w:color w:val="000000" w:themeColor="text1"/>
                      <w:szCs w:val="21"/>
                    </w:rPr>
                    <w:t>遵循《危险废物转移联单管理办法》的相关规定，</w:t>
                  </w:r>
                  <w:r>
                    <w:rPr>
                      <w:rFonts w:hint="eastAsia"/>
                      <w:color w:val="000000" w:themeColor="text1"/>
                      <w:szCs w:val="21"/>
                    </w:rPr>
                    <w:t>本</w:t>
                  </w:r>
                  <w:r>
                    <w:rPr>
                      <w:color w:val="000000" w:themeColor="text1"/>
                      <w:szCs w:val="21"/>
                    </w:rPr>
                    <w:t>单位和利用单位转移废矿物油时，应与具有危险废物运输资质或具有危险货物运营许可证单位签订运输转移委托合同，并遵循危险货物及危废运输管理的相关规定</w:t>
                  </w:r>
                  <w:r>
                    <w:rPr>
                      <w:rFonts w:hint="eastAsia"/>
                      <w:color w:val="000000" w:themeColor="text1"/>
                      <w:szCs w:val="21"/>
                    </w:rPr>
                    <w:t>。</w:t>
                  </w:r>
                </w:p>
              </w:tc>
              <w:tc>
                <w:tcPr>
                  <w:tcW w:w="876" w:type="dxa"/>
                  <w:tcBorders>
                    <w:bottom w:val="single" w:color="auto" w:sz="4" w:space="0"/>
                    <w:right w:val="nil"/>
                  </w:tcBorders>
                </w:tcPr>
                <w:p>
                  <w:pPr>
                    <w:pStyle w:val="2"/>
                    <w:ind w:firstLine="422"/>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6" w:hRule="atLeast"/>
              </w:trPr>
              <w:tc>
                <w:tcPr>
                  <w:tcW w:w="2010" w:type="dxa"/>
                  <w:vMerge w:val="continue"/>
                  <w:tcBorders>
                    <w:top w:val="single" w:color="auto" w:sz="12" w:space="0"/>
                    <w:left w:val="nil"/>
                    <w:bottom w:val="single" w:color="auto" w:sz="12" w:space="0"/>
                  </w:tcBorders>
                </w:tcPr>
                <w:p>
                  <w:pPr>
                    <w:pStyle w:val="2"/>
                    <w:ind w:firstLine="422"/>
                    <w:rPr>
                      <w:b/>
                      <w:sz w:val="21"/>
                      <w:szCs w:val="21"/>
                    </w:rPr>
                  </w:pPr>
                </w:p>
              </w:tc>
              <w:tc>
                <w:tcPr>
                  <w:tcW w:w="3086" w:type="dxa"/>
                  <w:tcBorders>
                    <w:top w:val="single" w:color="auto" w:sz="4" w:space="0"/>
                    <w:bottom w:val="single" w:color="auto" w:sz="12" w:space="0"/>
                  </w:tcBorders>
                  <w:vAlign w:val="center"/>
                </w:tcPr>
                <w:p>
                  <w:pPr>
                    <w:rPr>
                      <w:rFonts w:hint="eastAsia" w:eastAsiaTheme="minorEastAsia"/>
                      <w:color w:val="000000" w:themeColor="text1"/>
                      <w:szCs w:val="21"/>
                      <w:lang w:eastAsia="zh-CN"/>
                    </w:rPr>
                  </w:pPr>
                  <w:r>
                    <w:rPr>
                      <w:color w:val="000000" w:themeColor="text1"/>
                      <w:szCs w:val="21"/>
                    </w:rPr>
                    <w:t>废矿物油转移前，产生单位、收集单位、利用单位均应制定突发环境事件应急预案，检查危险废物转移联单，核对品名、数量和标志，检查转移设备和盛装容器的稳定性、严密性，确保运输过程中不破裂、泄露</w:t>
                  </w:r>
                  <w:r>
                    <w:rPr>
                      <w:rFonts w:hint="eastAsia"/>
                      <w:color w:val="000000" w:themeColor="text1"/>
                      <w:szCs w:val="21"/>
                      <w:lang w:eastAsia="zh-CN"/>
                    </w:rPr>
                    <w:t>。</w:t>
                  </w:r>
                </w:p>
              </w:tc>
              <w:tc>
                <w:tcPr>
                  <w:tcW w:w="2071" w:type="dxa"/>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rPr>
                  </w:pPr>
                  <w:r>
                    <w:rPr>
                      <w:color w:val="000000" w:themeColor="text1"/>
                      <w:szCs w:val="21"/>
                    </w:rPr>
                    <w:t>本单位</w:t>
                  </w:r>
                  <w:r>
                    <w:rPr>
                      <w:rFonts w:hint="eastAsia"/>
                      <w:color w:val="auto"/>
                      <w:szCs w:val="21"/>
                    </w:rPr>
                    <w:t>建成后</w:t>
                  </w:r>
                  <w:r>
                    <w:rPr>
                      <w:color w:val="000000" w:themeColor="text1"/>
                      <w:szCs w:val="21"/>
                    </w:rPr>
                    <w:t>编制突发环境事件应急预案</w:t>
                  </w:r>
                  <w:r>
                    <w:rPr>
                      <w:rFonts w:hint="eastAsia"/>
                      <w:color w:val="000000" w:themeColor="text1"/>
                      <w:szCs w:val="21"/>
                    </w:rPr>
                    <w:t>，</w:t>
                  </w:r>
                  <w:r>
                    <w:rPr>
                      <w:color w:val="000000" w:themeColor="text1"/>
                      <w:szCs w:val="21"/>
                    </w:rPr>
                    <w:t>检查危险废物转移联单，核对品名、数量和标志，检查转移设备和盛装容器的稳定性、严密性，确保运输过程中不破裂、泄露</w:t>
                  </w:r>
                  <w:r>
                    <w:rPr>
                      <w:rFonts w:hint="eastAsia"/>
                      <w:color w:val="000000" w:themeColor="text1"/>
                      <w:szCs w:val="21"/>
                    </w:rPr>
                    <w:t>。</w:t>
                  </w:r>
                </w:p>
              </w:tc>
              <w:tc>
                <w:tcPr>
                  <w:tcW w:w="876" w:type="dxa"/>
                  <w:tcBorders>
                    <w:top w:val="single" w:color="auto" w:sz="4" w:space="0"/>
                    <w:bottom w:val="single" w:color="auto" w:sz="12" w:space="0"/>
                    <w:right w:val="nil"/>
                  </w:tcBorders>
                </w:tcPr>
                <w:p>
                  <w:pPr>
                    <w:pStyle w:val="2"/>
                    <w:ind w:firstLine="422"/>
                    <w:rPr>
                      <w:b/>
                      <w:sz w:val="21"/>
                      <w:szCs w:val="21"/>
                    </w:rPr>
                  </w:pPr>
                </w:p>
              </w:tc>
            </w:tr>
          </w:tbl>
          <w:p>
            <w:pPr>
              <w:spacing w:line="360" w:lineRule="auto"/>
              <w:ind w:firstLine="480" w:firstLineChars="200"/>
              <w:rPr>
                <w:sz w:val="24"/>
              </w:rPr>
            </w:pPr>
            <w:r>
              <w:rPr>
                <w:sz w:val="24"/>
              </w:rPr>
              <w:t>因此，本项目</w:t>
            </w:r>
            <w:r>
              <w:rPr>
                <w:rFonts w:hint="eastAsia"/>
                <w:sz w:val="24"/>
                <w:lang w:eastAsia="zh-CN"/>
              </w:rPr>
              <w:t>收储车间</w:t>
            </w:r>
            <w:r>
              <w:rPr>
                <w:sz w:val="24"/>
              </w:rPr>
              <w:t>贮存能力满足国家规范要求。同时，项目运营过程中，建设单位应加强监管。</w:t>
            </w:r>
          </w:p>
          <w:p>
            <w:pPr>
              <w:spacing w:line="360" w:lineRule="auto"/>
              <w:ind w:firstLine="480" w:firstLineChars="200"/>
              <w:rPr>
                <w:sz w:val="24"/>
              </w:rPr>
            </w:pPr>
            <w:r>
              <w:rPr>
                <w:sz w:val="24"/>
              </w:rPr>
              <w:t>本项目租用现有厂房进行项目建设，严格按照《危险废物贮存污染控制标准》（GB18597-2001）及其2013年修改单、《</w:t>
            </w:r>
            <w:r>
              <w:rPr>
                <w:rFonts w:hint="eastAsia"/>
                <w:sz w:val="24"/>
              </w:rPr>
              <w:t>危险废物收集 贮存 运输技术规范</w:t>
            </w:r>
            <w:r>
              <w:rPr>
                <w:sz w:val="24"/>
              </w:rPr>
              <w:t>》（HJ2025-2012）。具体要求如表</w:t>
            </w:r>
            <w:r>
              <w:rPr>
                <w:rFonts w:hint="eastAsia"/>
                <w:sz w:val="24"/>
                <w:lang w:val="en-US" w:eastAsia="zh-CN"/>
              </w:rPr>
              <w:t>9</w:t>
            </w:r>
            <w:r>
              <w:rPr>
                <w:sz w:val="24"/>
              </w:rPr>
              <w:t>所示。</w:t>
            </w:r>
          </w:p>
          <w:p>
            <w:pPr>
              <w:pStyle w:val="33"/>
              <w:numPr>
                <w:ilvl w:val="0"/>
                <w:numId w:val="0"/>
              </w:numPr>
              <w:spacing w:line="240" w:lineRule="auto"/>
              <w:rPr>
                <w:rFonts w:hint="eastAsia"/>
                <w:sz w:val="24"/>
                <w:szCs w:val="24"/>
              </w:rPr>
            </w:pPr>
          </w:p>
          <w:p>
            <w:pPr>
              <w:pStyle w:val="33"/>
              <w:numPr>
                <w:ilvl w:val="0"/>
                <w:numId w:val="0"/>
              </w:numPr>
              <w:spacing w:line="360" w:lineRule="auto"/>
            </w:pPr>
            <w:r>
              <w:rPr>
                <w:rFonts w:hint="eastAsia"/>
                <w:sz w:val="24"/>
                <w:szCs w:val="24"/>
              </w:rPr>
              <w:t>表</w:t>
            </w:r>
            <w:r>
              <w:rPr>
                <w:rFonts w:hint="eastAsia"/>
                <w:sz w:val="24"/>
                <w:szCs w:val="24"/>
                <w:lang w:val="en-US" w:eastAsia="zh-CN"/>
              </w:rPr>
              <w:t>9</w:t>
            </w:r>
            <w:r>
              <w:rPr>
                <w:sz w:val="24"/>
                <w:szCs w:val="24"/>
              </w:rPr>
              <w:t>《</w:t>
            </w:r>
            <w:r>
              <w:rPr>
                <w:rFonts w:hint="eastAsia"/>
                <w:sz w:val="24"/>
                <w:szCs w:val="24"/>
              </w:rPr>
              <w:t>危险废物收集 贮存 运输技术规范</w:t>
            </w:r>
            <w:r>
              <w:rPr>
                <w:sz w:val="24"/>
                <w:szCs w:val="24"/>
              </w:rPr>
              <w:t>》</w:t>
            </w:r>
            <w:r>
              <w:rPr>
                <w:rFonts w:hint="default"/>
                <w:sz w:val="24"/>
                <w:szCs w:val="24"/>
                <w:lang w:val="en-US"/>
              </w:rPr>
              <w:t>(</w:t>
            </w:r>
            <w:r>
              <w:rPr>
                <w:sz w:val="24"/>
                <w:szCs w:val="24"/>
              </w:rPr>
              <w:t>HJ2025-2012</w:t>
            </w:r>
            <w:r>
              <w:rPr>
                <w:rFonts w:hint="default"/>
                <w:sz w:val="24"/>
                <w:szCs w:val="24"/>
                <w:lang w:val="en-US"/>
              </w:rPr>
              <w:t>)</w:t>
            </w:r>
            <w:r>
              <w:rPr>
                <w:sz w:val="24"/>
                <w:szCs w:val="24"/>
              </w:rPr>
              <w:t>相</w:t>
            </w:r>
            <w:r>
              <w:rPr>
                <w:rFonts w:hint="eastAsia"/>
                <w:sz w:val="24"/>
                <w:szCs w:val="24"/>
              </w:rPr>
              <w:t>符性分析</w:t>
            </w:r>
          </w:p>
          <w:tbl>
            <w:tblPr>
              <w:tblStyle w:val="26"/>
              <w:tblW w:w="804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573"/>
              <w:gridCol w:w="3174"/>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1" w:hRule="atLeast"/>
              </w:trPr>
              <w:tc>
                <w:tcPr>
                  <w:tcW w:w="3913" w:type="dxa"/>
                  <w:gridSpan w:val="2"/>
                  <w:tcBorders>
                    <w:tl2br w:val="nil"/>
                    <w:tr2bl w:val="nil"/>
                  </w:tcBorders>
                  <w:vAlign w:val="center"/>
                </w:tcPr>
                <w:p>
                  <w:pPr>
                    <w:pStyle w:val="55"/>
                    <w:widowControl/>
                    <w:tabs>
                      <w:tab w:val="center" w:pos="4153"/>
                      <w:tab w:val="right" w:pos="8306"/>
                    </w:tabs>
                    <w:spacing w:before="24" w:after="24" w:line="240" w:lineRule="auto"/>
                    <w:rPr>
                      <w:rFonts w:ascii="宋体" w:hAnsi="宋体" w:eastAsia="宋体" w:cs="宋体"/>
                      <w:sz w:val="21"/>
                      <w:szCs w:val="21"/>
                    </w:rPr>
                  </w:pPr>
                  <w:r>
                    <w:rPr>
                      <w:rFonts w:hint="eastAsia" w:ascii="宋体" w:hAnsi="宋体" w:eastAsia="宋体" w:cs="宋体"/>
                      <w:sz w:val="21"/>
                      <w:szCs w:val="21"/>
                      <w:lang w:val="zh-CN"/>
                    </w:rPr>
                    <w:t>规范要求</w:t>
                  </w:r>
                </w:p>
              </w:tc>
              <w:tc>
                <w:tcPr>
                  <w:tcW w:w="3174"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sz w:val="21"/>
                      <w:szCs w:val="21"/>
                    </w:rPr>
                  </w:pPr>
                  <w:r>
                    <w:rPr>
                      <w:rFonts w:hint="eastAsia" w:ascii="宋体" w:hAnsi="宋体" w:eastAsia="宋体" w:cs="宋体"/>
                      <w:sz w:val="21"/>
                      <w:szCs w:val="21"/>
                      <w:lang w:val="zh-CN"/>
                    </w:rPr>
                    <w:t>本项目情况</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sz w:val="21"/>
                      <w:szCs w:val="21"/>
                    </w:rPr>
                  </w:pPr>
                  <w:r>
                    <w:rPr>
                      <w:rFonts w:hint="eastAsia" w:ascii="宋体" w:hAnsi="宋体" w:eastAsia="宋体" w:cs="宋体"/>
                      <w:sz w:val="21"/>
                      <w:szCs w:val="21"/>
                      <w:lang w:val="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40" w:type="dxa"/>
                  <w:vMerge w:val="restart"/>
                  <w:tcBorders>
                    <w:tl2br w:val="nil"/>
                    <w:tr2bl w:val="nil"/>
                  </w:tcBorders>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lang w:val="zh-CN"/>
                    </w:rPr>
                  </w:pPr>
                </w:p>
                <w:p>
                  <w:pPr>
                    <w:rPr>
                      <w:rFonts w:ascii="宋体" w:hAnsi="宋体" w:eastAsia="宋体" w:cs="宋体"/>
                      <w:bCs/>
                      <w:szCs w:val="21"/>
                      <w:lang w:val="zh-CN"/>
                    </w:rPr>
                  </w:pPr>
                </w:p>
                <w:p>
                  <w:pPr>
                    <w:pStyle w:val="10"/>
                    <w:rPr>
                      <w:rFonts w:ascii="宋体" w:hAnsi="宋体" w:eastAsia="宋体" w:cs="宋体"/>
                      <w:bCs/>
                      <w:szCs w:val="21"/>
                      <w:lang w:val="zh-CN"/>
                    </w:rPr>
                  </w:pPr>
                </w:p>
                <w:p>
                  <w:pPr>
                    <w:rPr>
                      <w:rFonts w:ascii="宋体" w:hAnsi="宋体" w:eastAsia="宋体" w:cs="宋体"/>
                      <w:bCs/>
                      <w:szCs w:val="21"/>
                      <w:lang w:val="zh-CN"/>
                    </w:rPr>
                  </w:pPr>
                </w:p>
                <w:p>
                  <w:pPr>
                    <w:pStyle w:val="10"/>
                    <w:rPr>
                      <w:rFonts w:ascii="宋体" w:hAnsi="宋体" w:eastAsia="宋体" w:cs="宋体"/>
                      <w:bCs/>
                      <w:szCs w:val="21"/>
                      <w:lang w:val="zh-CN"/>
                    </w:rPr>
                  </w:pPr>
                </w:p>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《危险废物收集 贮存 运输技术规范》HJ 2025-2012</w:t>
                  </w:r>
                </w:p>
              </w:tc>
              <w:tc>
                <w:tcPr>
                  <w:tcW w:w="2573"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lang w:val="zh-CN"/>
                    </w:rPr>
                    <w:t>危险废物贮存设施的选址、设计、建设、运行管理应满足GB18597、GBZ1和GBZ2 的有关要求</w:t>
                  </w:r>
                </w:p>
              </w:tc>
              <w:tc>
                <w:tcPr>
                  <w:tcW w:w="3174" w:type="dxa"/>
                  <w:tcBorders>
                    <w:tl2br w:val="nil"/>
                    <w:tr2bl w:val="nil"/>
                  </w:tcBorders>
                  <w:vAlign w:val="center"/>
                </w:tcPr>
                <w:p>
                  <w:pPr>
                    <w:pStyle w:val="55"/>
                    <w:keepNext w:val="0"/>
                    <w:keepLines w:val="0"/>
                    <w:pageBreakBefore w:val="0"/>
                    <w:widowControl/>
                    <w:tabs>
                      <w:tab w:val="center" w:pos="4153"/>
                      <w:tab w:val="right" w:pos="8306"/>
                    </w:tabs>
                    <w:kinsoku/>
                    <w:wordWrap/>
                    <w:overflowPunct/>
                    <w:topLinePunct w:val="0"/>
                    <w:autoSpaceDE/>
                    <w:autoSpaceDN/>
                    <w:bidi w:val="0"/>
                    <w:adjustRightInd w:val="0"/>
                    <w:snapToGrid/>
                    <w:spacing w:before="24" w:after="24" w:line="240" w:lineRule="exact"/>
                    <w:ind w:firstLine="0"/>
                    <w:jc w:val="both"/>
                    <w:textAlignment w:val="baseline"/>
                    <w:rPr>
                      <w:rFonts w:ascii="宋体" w:hAnsi="宋体" w:eastAsia="宋体" w:cs="宋体"/>
                      <w:b w:val="0"/>
                      <w:bCs/>
                      <w:sz w:val="21"/>
                      <w:szCs w:val="21"/>
                    </w:rPr>
                  </w:pPr>
                  <w:r>
                    <w:rPr>
                      <w:rFonts w:hint="eastAsia" w:ascii="宋体" w:hAnsi="宋体" w:eastAsia="宋体" w:cs="宋体"/>
                      <w:b w:val="0"/>
                      <w:bCs/>
                      <w:sz w:val="21"/>
                      <w:szCs w:val="21"/>
                      <w:lang w:val="zh-CN"/>
                    </w:rPr>
                    <w:t>本</w:t>
                  </w:r>
                  <w:r>
                    <w:rPr>
                      <w:rFonts w:hint="eastAsia" w:ascii="宋体" w:hAnsi="宋体" w:eastAsia="宋体" w:cs="宋体"/>
                      <w:b w:val="0"/>
                      <w:bCs/>
                      <w:sz w:val="21"/>
                      <w:szCs w:val="21"/>
                    </w:rPr>
                    <w:t>项目</w:t>
                  </w:r>
                  <w:r>
                    <w:rPr>
                      <w:rFonts w:hint="eastAsia" w:ascii="宋体" w:hAnsi="宋体" w:eastAsia="宋体" w:cs="宋体"/>
                      <w:b w:val="0"/>
                      <w:bCs/>
                      <w:sz w:val="21"/>
                      <w:szCs w:val="21"/>
                      <w:lang w:val="zh-CN"/>
                    </w:rPr>
                    <w:t>的贮存设施的选址、设计、建设、运行管理严格按照《危险废物贮存污染控制标准》（GB18597-2001）及2013修改单标准要求建设。</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340" w:type="dxa"/>
                  <w:vMerge w:val="continue"/>
                  <w:tcBorders>
                    <w:tl2br w:val="nil"/>
                    <w:tr2bl w:val="nil"/>
                  </w:tcBorders>
                </w:tcPr>
                <w:p>
                  <w:pPr>
                    <w:pStyle w:val="3"/>
                    <w:spacing w:before="62" w:after="62"/>
                    <w:rPr>
                      <w:rFonts w:eastAsia="宋体"/>
                      <w:bCs/>
                      <w:sz w:val="21"/>
                      <w:szCs w:val="21"/>
                    </w:rPr>
                  </w:pPr>
                </w:p>
              </w:tc>
              <w:tc>
                <w:tcPr>
                  <w:tcW w:w="2573"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rPr>
                    <w:t>从事危险废物收集、贮存、运输等经营活动的单位应具有危险废物经营许可证</w:t>
                  </w:r>
                </w:p>
              </w:tc>
              <w:tc>
                <w:tcPr>
                  <w:tcW w:w="3174"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rPr>
                    <w:t>本单位取得危险废物经营许可证前，不得开展危险废物经营活动。</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39" w:hRule="atLeast"/>
              </w:trPr>
              <w:tc>
                <w:tcPr>
                  <w:tcW w:w="1340" w:type="dxa"/>
                  <w:vMerge w:val="continue"/>
                  <w:tcBorders>
                    <w:tl2br w:val="nil"/>
                    <w:tr2bl w:val="nil"/>
                  </w:tcBorders>
                </w:tcPr>
                <w:p>
                  <w:pPr>
                    <w:pStyle w:val="3"/>
                    <w:spacing w:before="62" w:after="62"/>
                    <w:rPr>
                      <w:rFonts w:eastAsia="宋体"/>
                      <w:bCs/>
                      <w:sz w:val="21"/>
                      <w:szCs w:val="21"/>
                    </w:rPr>
                  </w:pPr>
                </w:p>
              </w:tc>
              <w:tc>
                <w:tcPr>
                  <w:tcW w:w="2573"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lang w:val="zh-CN"/>
                    </w:rPr>
                    <w:t>贮存设施、配备通讯设备、照明设备和消防设施</w:t>
                  </w:r>
                </w:p>
              </w:tc>
              <w:tc>
                <w:tcPr>
                  <w:tcW w:w="3174" w:type="dxa"/>
                  <w:tcBorders>
                    <w:tl2br w:val="nil"/>
                    <w:tr2bl w:val="nil"/>
                  </w:tcBorders>
                  <w:vAlign w:val="center"/>
                </w:tcPr>
                <w:p>
                  <w:pPr>
                    <w:pStyle w:val="55"/>
                    <w:widowControl/>
                    <w:tabs>
                      <w:tab w:val="center" w:pos="4153"/>
                      <w:tab w:val="right" w:pos="8306"/>
                    </w:tabs>
                    <w:spacing w:before="24" w:after="24" w:line="260" w:lineRule="exact"/>
                    <w:ind w:firstLine="0"/>
                    <w:jc w:val="both"/>
                    <w:rPr>
                      <w:rFonts w:ascii="宋体" w:hAnsi="宋体" w:eastAsia="宋体" w:cs="宋体"/>
                      <w:b w:val="0"/>
                      <w:bCs/>
                      <w:sz w:val="21"/>
                      <w:szCs w:val="21"/>
                    </w:rPr>
                  </w:pPr>
                  <w:r>
                    <w:rPr>
                      <w:rFonts w:hint="eastAsia" w:ascii="宋体" w:hAnsi="宋体" w:eastAsia="宋体" w:cs="宋体"/>
                      <w:b w:val="0"/>
                      <w:bCs/>
                      <w:sz w:val="21"/>
                      <w:szCs w:val="21"/>
                      <w:lang w:val="zh-CN"/>
                    </w:rPr>
                    <w:t>本项目电气、电讯设备设计时严</w:t>
                  </w:r>
                  <w:r>
                    <w:rPr>
                      <w:rFonts w:hint="eastAsia" w:ascii="宋体" w:hAnsi="宋体" w:eastAsia="宋体" w:cs="宋体"/>
                      <w:b w:val="0"/>
                      <w:bCs/>
                      <w:spacing w:val="-11"/>
                      <w:sz w:val="21"/>
                      <w:szCs w:val="21"/>
                      <w:lang w:val="zh-CN"/>
                    </w:rPr>
                    <w:t>格按相关规范进行，确保用电安全</w:t>
                  </w:r>
                  <w:r>
                    <w:rPr>
                      <w:rFonts w:hint="eastAsia" w:ascii="宋体" w:hAnsi="宋体" w:eastAsia="宋体" w:cs="宋体"/>
                      <w:b w:val="0"/>
                      <w:bCs/>
                      <w:sz w:val="21"/>
                      <w:szCs w:val="21"/>
                      <w:lang w:val="zh-CN"/>
                    </w:rPr>
                    <w:t>。</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976" w:hRule="atLeast"/>
              </w:trPr>
              <w:tc>
                <w:tcPr>
                  <w:tcW w:w="1340" w:type="dxa"/>
                  <w:vMerge w:val="continue"/>
                  <w:tcBorders>
                    <w:tl2br w:val="nil"/>
                    <w:tr2bl w:val="nil"/>
                  </w:tcBorders>
                </w:tcPr>
                <w:p>
                  <w:pPr>
                    <w:pStyle w:val="3"/>
                    <w:spacing w:before="62" w:after="62"/>
                    <w:rPr>
                      <w:rFonts w:eastAsia="宋体"/>
                      <w:bCs/>
                      <w:sz w:val="21"/>
                      <w:szCs w:val="21"/>
                    </w:rPr>
                  </w:pPr>
                </w:p>
              </w:tc>
              <w:tc>
                <w:tcPr>
                  <w:tcW w:w="2573" w:type="dxa"/>
                  <w:tcBorders>
                    <w:tl2br w:val="nil"/>
                    <w:tr2bl w:val="nil"/>
                  </w:tcBorders>
                  <w:vAlign w:val="center"/>
                </w:tcPr>
                <w:p>
                  <w:pPr>
                    <w:pStyle w:val="55"/>
                    <w:keepNext w:val="0"/>
                    <w:keepLines w:val="0"/>
                    <w:pageBreakBefore w:val="0"/>
                    <w:widowControl/>
                    <w:tabs>
                      <w:tab w:val="center" w:pos="4153"/>
                      <w:tab w:val="right" w:pos="8306"/>
                    </w:tabs>
                    <w:kinsoku/>
                    <w:wordWrap/>
                    <w:overflowPunct/>
                    <w:topLinePunct w:val="0"/>
                    <w:autoSpaceDE/>
                    <w:autoSpaceDN/>
                    <w:bidi w:val="0"/>
                    <w:adjustRightInd w:val="0"/>
                    <w:snapToGrid/>
                    <w:spacing w:before="0" w:after="0" w:line="240" w:lineRule="auto"/>
                    <w:ind w:firstLine="0"/>
                    <w:jc w:val="both"/>
                    <w:textAlignment w:val="baseline"/>
                    <w:rPr>
                      <w:rFonts w:ascii="宋体" w:hAnsi="宋体" w:eastAsia="宋体" w:cs="宋体"/>
                      <w:b w:val="0"/>
                      <w:bCs/>
                      <w:sz w:val="21"/>
                      <w:szCs w:val="21"/>
                    </w:rPr>
                  </w:pPr>
                  <w:r>
                    <w:rPr>
                      <w:rFonts w:hint="eastAsia" w:ascii="宋体" w:hAnsi="宋体" w:eastAsia="宋体" w:cs="宋体"/>
                      <w:b w:val="0"/>
                      <w:bCs/>
                      <w:sz w:val="21"/>
                      <w:szCs w:val="21"/>
                      <w:lang w:val="zh-CN"/>
                    </w:rPr>
                    <w:t>贮存危险废物时应按危险废物的种类和特性进行分区贮存，每个贮存区域之间宜设置挡墙间隔，并应设置防前、防火、防雷、防扬尘装置</w:t>
                  </w:r>
                </w:p>
              </w:tc>
              <w:tc>
                <w:tcPr>
                  <w:tcW w:w="3174"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lang w:val="zh-CN"/>
                    </w:rPr>
                    <w:t>本项目运行过程中仅对废机油一种危险废物进行贮存，废机油均贮存于密闭的封闭贮存仓库的机油储罐内。</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48" w:hRule="atLeast"/>
              </w:trPr>
              <w:tc>
                <w:tcPr>
                  <w:tcW w:w="1340" w:type="dxa"/>
                  <w:vMerge w:val="continue"/>
                  <w:tcBorders>
                    <w:tl2br w:val="nil"/>
                    <w:tr2bl w:val="nil"/>
                  </w:tcBorders>
                </w:tcPr>
                <w:p>
                  <w:pPr>
                    <w:pStyle w:val="3"/>
                    <w:spacing w:before="62" w:after="62"/>
                    <w:rPr>
                      <w:rFonts w:eastAsia="宋体"/>
                      <w:bCs/>
                      <w:sz w:val="21"/>
                      <w:szCs w:val="21"/>
                    </w:rPr>
                  </w:pPr>
                </w:p>
              </w:tc>
              <w:tc>
                <w:tcPr>
                  <w:tcW w:w="2573"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z w:val="21"/>
                      <w:szCs w:val="21"/>
                      <w:lang w:val="zh-CN"/>
                    </w:rPr>
                    <w:t>危险废物贮存单位应建</w:t>
                  </w:r>
                  <w:r>
                    <w:rPr>
                      <w:rFonts w:hint="eastAsia" w:ascii="宋体" w:hAnsi="宋体" w:eastAsia="宋体" w:cs="宋体"/>
                      <w:b w:val="0"/>
                      <w:bCs/>
                      <w:spacing w:val="-6"/>
                      <w:sz w:val="21"/>
                      <w:szCs w:val="21"/>
                      <w:lang w:val="zh-CN"/>
                    </w:rPr>
                    <w:t>立危险废物贮存台账制</w:t>
                  </w:r>
                  <w:r>
                    <w:rPr>
                      <w:rFonts w:hint="eastAsia" w:ascii="宋体" w:hAnsi="宋体" w:eastAsia="宋体" w:cs="宋体"/>
                      <w:b w:val="0"/>
                      <w:bCs/>
                      <w:spacing w:val="-11"/>
                      <w:sz w:val="21"/>
                      <w:szCs w:val="21"/>
                      <w:lang w:val="zh-CN"/>
                    </w:rPr>
                    <w:t>度</w:t>
                  </w:r>
                </w:p>
              </w:tc>
              <w:tc>
                <w:tcPr>
                  <w:tcW w:w="3174" w:type="dxa"/>
                  <w:tcBorders>
                    <w:tl2br w:val="nil"/>
                    <w:tr2bl w:val="nil"/>
                  </w:tcBorders>
                  <w:vAlign w:val="center"/>
                </w:tcPr>
                <w:p>
                  <w:pPr>
                    <w:pStyle w:val="55"/>
                    <w:widowControl/>
                    <w:tabs>
                      <w:tab w:val="center" w:pos="4153"/>
                      <w:tab w:val="right" w:pos="8306"/>
                    </w:tabs>
                    <w:spacing w:before="24" w:after="24" w:line="240" w:lineRule="auto"/>
                    <w:ind w:firstLine="0"/>
                    <w:jc w:val="both"/>
                    <w:rPr>
                      <w:rFonts w:ascii="宋体" w:hAnsi="宋体" w:eastAsia="宋体" w:cs="宋体"/>
                      <w:b w:val="0"/>
                      <w:bCs/>
                      <w:sz w:val="21"/>
                      <w:szCs w:val="21"/>
                    </w:rPr>
                  </w:pPr>
                  <w:r>
                    <w:rPr>
                      <w:rFonts w:hint="eastAsia" w:ascii="宋体" w:hAnsi="宋体" w:eastAsia="宋体" w:cs="宋体"/>
                      <w:b w:val="0"/>
                      <w:bCs/>
                      <w:spacing w:val="0"/>
                      <w:sz w:val="21"/>
                      <w:szCs w:val="21"/>
                      <w:lang w:val="zh-CN"/>
                    </w:rPr>
                    <w:t>严格应按要求设立台账制度。</w:t>
                  </w:r>
                </w:p>
              </w:tc>
              <w:tc>
                <w:tcPr>
                  <w:tcW w:w="956" w:type="dxa"/>
                  <w:tcBorders>
                    <w:tl2br w:val="nil"/>
                    <w:tr2bl w:val="nil"/>
                  </w:tcBorders>
                  <w:vAlign w:val="center"/>
                </w:tcPr>
                <w:p>
                  <w:pPr>
                    <w:pStyle w:val="55"/>
                    <w:widowControl/>
                    <w:tabs>
                      <w:tab w:val="center" w:pos="4153"/>
                      <w:tab w:val="right" w:pos="8306"/>
                    </w:tabs>
                    <w:spacing w:before="24" w:after="24" w:line="240" w:lineRule="auto"/>
                    <w:ind w:firstLine="0"/>
                    <w:rPr>
                      <w:rFonts w:ascii="宋体" w:hAnsi="宋体" w:eastAsia="宋体" w:cs="宋体"/>
                      <w:b w:val="0"/>
                      <w:bCs/>
                      <w:sz w:val="21"/>
                      <w:szCs w:val="21"/>
                    </w:rPr>
                  </w:pPr>
                  <w:r>
                    <w:rPr>
                      <w:rFonts w:hint="eastAsia" w:ascii="宋体" w:hAnsi="宋体" w:eastAsia="宋体" w:cs="宋体"/>
                      <w:b w:val="0"/>
                      <w:bCs/>
                      <w:sz w:val="21"/>
                      <w:szCs w:val="21"/>
                      <w:lang w:val="zh-CN"/>
                    </w:rPr>
                    <w:t>符合</w:t>
                  </w:r>
                </w:p>
              </w:tc>
            </w:tr>
          </w:tbl>
          <w:p>
            <w:pPr>
              <w:spacing w:line="480" w:lineRule="auto"/>
              <w:ind w:firstLine="480" w:firstLineChars="200"/>
              <w:rPr>
                <w:rFonts w:ascii="Times New Roman" w:hAnsi="Times New Roman" w:eastAsia="宋体" w:cs="Times New Roman"/>
                <w:highlight w:val="yellow"/>
              </w:rPr>
            </w:pPr>
            <w:r>
              <w:rPr>
                <w:sz w:val="24"/>
              </w:rPr>
              <w:t>综上所述，本项目废机油的收集和贮存符合国家相关危险废物要求。</w:t>
            </w:r>
          </w:p>
        </w:tc>
      </w:tr>
    </w:tbl>
    <w:p>
      <w:pPr>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pStyle w:val="2"/>
        <w:ind w:firstLine="0" w:firstLineChars="0"/>
        <w:jc w:val="center"/>
        <w:outlineLvl w:val="0"/>
        <w:rPr>
          <w:rFonts w:ascii="Times New Roman" w:hAnsi="Times New Roman" w:eastAsia="宋体" w:cs="Times New Roman"/>
          <w:b/>
          <w:bCs/>
          <w:szCs w:val="28"/>
        </w:rPr>
      </w:pPr>
      <w:r>
        <w:rPr>
          <w:rFonts w:ascii="Times New Roman" w:hAnsi="Times New Roman" w:eastAsia="宋体" w:cs="Times New Roman"/>
          <w:b/>
          <w:bCs/>
          <w:color w:val="auto"/>
          <w:szCs w:val="28"/>
        </w:rPr>
        <w:t>二、建设项目工程分析</w:t>
      </w:r>
    </w:p>
    <w:tbl>
      <w:tblPr>
        <w:tblStyle w:val="26"/>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450" w:type="dxa"/>
            <w:vAlign w:val="center"/>
          </w:tcPr>
          <w:p>
            <w:pPr>
              <w:snapToGrid w:val="0"/>
              <w:spacing w:line="360" w:lineRule="auto"/>
              <w:jc w:val="center"/>
              <w:rPr>
                <w:rFonts w:ascii="Times New Roman" w:hAnsi="Times New Roman" w:eastAsia="宋体" w:cs="Times New Roman"/>
                <w:szCs w:val="21"/>
                <w:highlight w:val="yellow"/>
              </w:rPr>
            </w:pPr>
            <w:r>
              <w:rPr>
                <w:rFonts w:ascii="Times New Roman" w:hAnsi="Times New Roman" w:eastAsia="宋体" w:cs="Times New Roman"/>
                <w:sz w:val="24"/>
              </w:rPr>
              <w:t>建设内容</w:t>
            </w:r>
          </w:p>
        </w:tc>
        <w:tc>
          <w:tcPr>
            <w:tcW w:w="8315" w:type="dxa"/>
          </w:tcPr>
          <w:p>
            <w:pPr>
              <w:pStyle w:val="2"/>
              <w:numPr>
                <w:ilvl w:val="0"/>
                <w:numId w:val="4"/>
              </w:numPr>
              <w:snapToGrid w:val="0"/>
              <w:spacing w:line="360" w:lineRule="auto"/>
              <w:ind w:firstLine="482"/>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项目概况</w:t>
            </w:r>
          </w:p>
          <w:p>
            <w:pPr>
              <w:pStyle w:val="2"/>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项目名称：</w:t>
            </w:r>
            <w:r>
              <w:rPr>
                <w:rFonts w:hint="eastAsia" w:ascii="Times New Roman" w:hAnsi="Times New Roman" w:cs="Times New Roman"/>
                <w:color w:val="auto"/>
                <w:sz w:val="24"/>
                <w:szCs w:val="24"/>
              </w:rPr>
              <w:t>白城市昌盛农机回收拆解有限公司报废农机回收拆解项目</w:t>
            </w:r>
          </w:p>
          <w:p>
            <w:pPr>
              <w:pStyle w:val="2"/>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建设性质：新建</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建设地点：本项目位于</w:t>
            </w:r>
            <w:r>
              <w:rPr>
                <w:rFonts w:ascii="Times New Roman" w:hAnsi="Times New Roman" w:eastAsia="宋体" w:cs="Times New Roman"/>
                <w:sz w:val="24"/>
              </w:rPr>
              <w:t>白城</w:t>
            </w:r>
            <w:r>
              <w:rPr>
                <w:rFonts w:hint="eastAsia" w:ascii="Times New Roman" w:hAnsi="Times New Roman" w:eastAsia="宋体" w:cs="Times New Roman"/>
                <w:sz w:val="24"/>
              </w:rPr>
              <w:t>工业园区东海路北99号</w:t>
            </w:r>
            <w:r>
              <w:rPr>
                <w:rFonts w:ascii="Times New Roman" w:hAnsi="Times New Roman" w:cs="Times New Roman"/>
                <w:sz w:val="24"/>
              </w:rPr>
              <w:t>。租用</w:t>
            </w:r>
            <w:r>
              <w:rPr>
                <w:rFonts w:hint="eastAsia" w:ascii="Times New Roman" w:hAnsi="Times New Roman" w:cs="Times New Roman"/>
                <w:sz w:val="24"/>
              </w:rPr>
              <w:t>白城市国宾机械制造有限公司</w:t>
            </w:r>
            <w:r>
              <w:rPr>
                <w:rFonts w:ascii="Times New Roman" w:hAnsi="Times New Roman" w:cs="Times New Roman"/>
                <w:sz w:val="24"/>
              </w:rPr>
              <w:t>现有厂区</w:t>
            </w:r>
            <w:r>
              <w:rPr>
                <w:rFonts w:hint="eastAsia" w:ascii="Times New Roman" w:hAnsi="Times New Roman" w:cs="Times New Roman"/>
                <w:sz w:val="24"/>
              </w:rPr>
              <w:t>内生产车间</w:t>
            </w:r>
            <w:r>
              <w:rPr>
                <w:rFonts w:ascii="Times New Roman" w:hAnsi="Times New Roman" w:cs="Times New Roman"/>
                <w:sz w:val="24"/>
              </w:rPr>
              <w:t>进行</w:t>
            </w:r>
            <w:r>
              <w:rPr>
                <w:rFonts w:hint="eastAsia" w:ascii="Times New Roman" w:hAnsi="Times New Roman" w:cs="Times New Roman"/>
                <w:sz w:val="24"/>
              </w:rPr>
              <w:t>拆解。</w:t>
            </w:r>
            <w:r>
              <w:rPr>
                <w:rFonts w:hint="eastAsia" w:ascii="Times New Roman" w:hAnsi="Times New Roman" w:cs="Times New Roman"/>
                <w:sz w:val="24"/>
                <w:u w:val="single"/>
              </w:rPr>
              <w:t>厂区东侧为园区道路（隔路为索田涂料）、南侧为东海路、西侧为白城市宏昊建筑公司、北侧为</w:t>
            </w:r>
            <w:r>
              <w:rPr>
                <w:rFonts w:hint="eastAsia" w:ascii="Times New Roman" w:hAnsi="Times New Roman" w:cs="Times New Roman"/>
                <w:sz w:val="24"/>
                <w:u w:val="single"/>
                <w:lang w:eastAsia="zh-CN"/>
              </w:rPr>
              <w:t>保</w:t>
            </w:r>
            <w:r>
              <w:rPr>
                <w:rFonts w:hint="eastAsia" w:ascii="Times New Roman" w:hAnsi="Times New Roman" w:cs="Times New Roman"/>
                <w:sz w:val="24"/>
                <w:u w:val="single"/>
              </w:rPr>
              <w:t>平保温材料厂，项</w:t>
            </w:r>
            <w:r>
              <w:rPr>
                <w:rFonts w:hint="eastAsia" w:ascii="Times New Roman" w:hAnsi="Times New Roman" w:cs="Times New Roman"/>
                <w:color w:val="auto"/>
                <w:sz w:val="24"/>
                <w:u w:val="single"/>
              </w:rPr>
              <w:t>目</w:t>
            </w:r>
            <w:r>
              <w:rPr>
                <w:rFonts w:hint="eastAsia" w:ascii="Times New Roman" w:hAnsi="Times New Roman" w:cs="Times New Roman"/>
                <w:color w:val="auto"/>
                <w:sz w:val="24"/>
                <w:u w:val="single"/>
                <w:lang w:eastAsia="zh-CN"/>
              </w:rPr>
              <w:t>最近</w:t>
            </w:r>
            <w:r>
              <w:rPr>
                <w:rFonts w:hint="eastAsia" w:ascii="Times New Roman" w:hAnsi="Times New Roman" w:cs="Times New Roman"/>
                <w:color w:val="auto"/>
                <w:sz w:val="24"/>
                <w:u w:val="single"/>
              </w:rPr>
              <w:t>居民</w:t>
            </w:r>
            <w:r>
              <w:rPr>
                <w:rFonts w:hint="eastAsia" w:ascii="Times New Roman" w:hAnsi="Times New Roman" w:cs="Times New Roman"/>
                <w:sz w:val="24"/>
                <w:u w:val="single"/>
              </w:rPr>
              <w:t>为西侧380</w:t>
            </w:r>
            <w:r>
              <w:rPr>
                <w:rFonts w:ascii="Times New Roman" w:hAnsi="Times New Roman" w:cs="Times New Roman"/>
                <w:sz w:val="24"/>
                <w:u w:val="single"/>
              </w:rPr>
              <w:t>m</w:t>
            </w:r>
            <w:r>
              <w:rPr>
                <w:rFonts w:hint="eastAsia" w:ascii="Times New Roman" w:hAnsi="Times New Roman" w:cs="Times New Roman"/>
                <w:sz w:val="24"/>
                <w:u w:val="single"/>
              </w:rPr>
              <w:t>华兴家园小区及西南侧</w:t>
            </w:r>
            <w:r>
              <w:rPr>
                <w:rFonts w:ascii="Times New Roman" w:hAnsi="Times New Roman" w:cs="Times New Roman"/>
                <w:sz w:val="24"/>
                <w:u w:val="single"/>
              </w:rPr>
              <w:t>4</w:t>
            </w:r>
            <w:r>
              <w:rPr>
                <w:rFonts w:hint="eastAsia" w:ascii="Times New Roman" w:hAnsi="Times New Roman" w:cs="Times New Roman"/>
                <w:sz w:val="24"/>
                <w:u w:val="single"/>
              </w:rPr>
              <w:t>60碧桂园小区。</w:t>
            </w:r>
            <w:r>
              <w:rPr>
                <w:rFonts w:ascii="Times New Roman" w:hAnsi="Times New Roman" w:cs="Times New Roman"/>
                <w:sz w:val="24"/>
              </w:rPr>
              <w:t>用地性质为工业用地</w:t>
            </w:r>
            <w:r>
              <w:rPr>
                <w:rFonts w:hint="eastAsia" w:ascii="Times New Roman" w:hAnsi="Times New Roman" w:cs="Times New Roman"/>
                <w:sz w:val="24"/>
              </w:rPr>
              <w:t>（</w:t>
            </w:r>
            <w:r>
              <w:rPr>
                <w:rFonts w:ascii="Times New Roman" w:hAnsi="Times New Roman" w:cs="Times New Roman"/>
                <w:sz w:val="24"/>
              </w:rPr>
              <w:t>详见附件</w:t>
            </w:r>
            <w:r>
              <w:rPr>
                <w:rFonts w:hint="eastAsia" w:ascii="Times New Roman" w:hAnsi="Times New Roman" w:cs="Times New Roman"/>
                <w:sz w:val="24"/>
              </w:rPr>
              <w:t>）</w:t>
            </w:r>
            <w:r>
              <w:rPr>
                <w:rFonts w:ascii="Times New Roman" w:hAnsi="Times New Roman" w:cs="Times New Roman"/>
                <w:sz w:val="24"/>
              </w:rPr>
              <w:t>。项目中心地理坐标为：</w:t>
            </w:r>
            <w:r>
              <w:rPr>
                <w:rFonts w:ascii="Times New Roman" w:hAnsi="Times New Roman" w:eastAsia="宋体" w:cs="Times New Roman"/>
                <w:sz w:val="24"/>
              </w:rPr>
              <w:t>经度</w:t>
            </w:r>
            <w:r>
              <w:rPr>
                <w:rFonts w:ascii="Times New Roman" w:hAnsi="Times New Roman" w:cs="Times New Roman"/>
                <w:sz w:val="24"/>
              </w:rPr>
              <w:t>122°46′56.096″</w:t>
            </w:r>
            <w:r>
              <w:rPr>
                <w:rFonts w:ascii="Times New Roman" w:hAnsi="Times New Roman" w:eastAsia="宋体" w:cs="Times New Roman"/>
                <w:sz w:val="24"/>
              </w:rPr>
              <w:t>纬度</w:t>
            </w:r>
            <w:r>
              <w:rPr>
                <w:rFonts w:ascii="Times New Roman" w:hAnsi="Times New Roman" w:cs="Times New Roman"/>
                <w:sz w:val="24"/>
              </w:rPr>
              <w:t>45°34′35.851″。其地理位置详见附图1。</w:t>
            </w:r>
          </w:p>
          <w:p>
            <w:pPr>
              <w:snapToGrid w:val="0"/>
              <w:spacing w:line="360" w:lineRule="auto"/>
              <w:ind w:firstLine="482" w:firstLineChars="200"/>
              <w:rPr>
                <w:rFonts w:ascii="宋体" w:hAnsi="宋体" w:cs="宋体"/>
                <w:b/>
                <w:sz w:val="24"/>
              </w:rPr>
            </w:pPr>
            <w:r>
              <w:rPr>
                <w:rFonts w:hint="eastAsia" w:ascii="宋体" w:hAnsi="宋体" w:cs="宋体"/>
                <w:b/>
                <w:sz w:val="24"/>
              </w:rPr>
              <w:t>2、项目建设内容及生产规模</w:t>
            </w:r>
          </w:p>
          <w:p>
            <w:pPr>
              <w:snapToGrid w:val="0"/>
              <w:spacing w:line="360" w:lineRule="auto"/>
              <w:ind w:firstLine="480"/>
              <w:rPr>
                <w:rFonts w:ascii="宋体" w:hAnsi="宋体" w:cs="宋体"/>
                <w:sz w:val="24"/>
              </w:rPr>
            </w:pPr>
            <w:r>
              <w:rPr>
                <w:rFonts w:hint="eastAsia" w:ascii="宋体" w:hAnsi="宋体" w:cs="宋体"/>
                <w:b/>
                <w:bCs/>
                <w:sz w:val="24"/>
              </w:rPr>
              <w:t>（1）建设内容</w:t>
            </w:r>
          </w:p>
          <w:p>
            <w:pPr>
              <w:snapToGrid w:val="0"/>
              <w:spacing w:line="360" w:lineRule="auto"/>
              <w:ind w:firstLine="480"/>
              <w:rPr>
                <w:rFonts w:ascii="宋体" w:hAnsi="宋体"/>
                <w:sz w:val="24"/>
              </w:rPr>
            </w:pPr>
            <w:r>
              <w:rPr>
                <w:rFonts w:hint="eastAsia" w:ascii="宋体" w:hAnsi="宋体" w:cs="宋体"/>
                <w:sz w:val="24"/>
              </w:rPr>
              <w:t>本项目建设内容为：租用</w:t>
            </w:r>
            <w:r>
              <w:rPr>
                <w:rFonts w:hint="eastAsia" w:ascii="宋体" w:hAnsi="宋体" w:cs="宋体"/>
                <w:color w:val="auto"/>
                <w:sz w:val="24"/>
              </w:rPr>
              <w:t>现成建筑物，建设</w:t>
            </w:r>
            <w:r>
              <w:rPr>
                <w:rFonts w:hint="eastAsia" w:ascii="宋体" w:hAnsi="宋体" w:cs="宋体"/>
                <w:sz w:val="24"/>
              </w:rPr>
              <w:t>1个拆解车间、2个仓库、1个废机油收储车间以及1个办公楼、1座报废农机停车场等，厂区总占地面积为</w:t>
            </w:r>
            <w:r>
              <w:rPr>
                <w:rFonts w:hint="eastAsia" w:ascii="Times New Roman" w:hAnsi="Times New Roman" w:eastAsia="宋体" w:cs="Times New Roman"/>
                <w:sz w:val="24"/>
              </w:rPr>
              <w:t>10114.9</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rPr>
              <w:t>。</w:t>
            </w:r>
          </w:p>
          <w:p>
            <w:pPr>
              <w:snapToGrid w:val="0"/>
              <w:spacing w:line="360" w:lineRule="auto"/>
              <w:ind w:firstLine="480"/>
              <w:rPr>
                <w:rFonts w:ascii="宋体" w:hAnsi="宋体" w:cs="宋体"/>
                <w:b/>
                <w:bCs/>
                <w:sz w:val="24"/>
              </w:rPr>
            </w:pPr>
            <w:r>
              <w:rPr>
                <w:rFonts w:hint="eastAsia" w:ascii="宋体" w:hAnsi="宋体" w:cs="宋体"/>
                <w:b/>
                <w:bCs/>
                <w:sz w:val="24"/>
              </w:rPr>
              <w:t>（2）生产规模</w:t>
            </w:r>
          </w:p>
          <w:p>
            <w:pPr>
              <w:snapToGrid w:val="0"/>
              <w:spacing w:line="360" w:lineRule="auto"/>
              <w:ind w:firstLine="480"/>
              <w:rPr>
                <w:rFonts w:ascii="宋体" w:hAnsi="宋体" w:cs="宋体"/>
                <w:sz w:val="24"/>
              </w:rPr>
            </w:pPr>
            <w:r>
              <w:rPr>
                <w:rFonts w:hint="eastAsia" w:ascii="宋体" w:hAnsi="宋体" w:cs="宋体"/>
                <w:sz w:val="24"/>
              </w:rPr>
              <w:t>①本项目年拆解报废农机5000台。其中包括玉米收割机1000台、水稻收割机1000台、玉米脱粒机1000台、拖拉机1000台、插秧机1000台，其中所有农机不含电动自走式农业机械。</w:t>
            </w:r>
          </w:p>
          <w:p>
            <w:pPr>
              <w:snapToGrid w:val="0"/>
              <w:spacing w:line="360" w:lineRule="auto"/>
              <w:ind w:firstLine="480"/>
              <w:rPr>
                <w:rFonts w:ascii="宋体" w:hAnsi="宋体" w:eastAsia="宋体" w:cs="宋体"/>
                <w:color w:val="000000"/>
                <w:kern w:val="0"/>
                <w:sz w:val="24"/>
              </w:rPr>
            </w:pPr>
            <w:r>
              <w:rPr>
                <w:rFonts w:hint="eastAsia" w:ascii="宋体" w:hAnsi="宋体" w:cs="宋体"/>
                <w:sz w:val="24"/>
              </w:rPr>
              <w:t>②</w:t>
            </w:r>
            <w:r>
              <w:rPr>
                <w:rFonts w:hint="eastAsia" w:ascii="宋体" w:hAnsi="宋体" w:eastAsia="宋体" w:cs="宋体"/>
                <w:color w:val="000000"/>
                <w:kern w:val="0"/>
                <w:sz w:val="24"/>
              </w:rPr>
              <w:t>本项目收集中转废机油</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00t/a</w:t>
            </w:r>
            <w:r>
              <w:rPr>
                <w:rFonts w:hint="eastAsia" w:ascii="宋体" w:hAnsi="宋体" w:eastAsia="宋体" w:cs="宋体"/>
                <w:color w:val="000000"/>
                <w:kern w:val="0"/>
                <w:sz w:val="24"/>
              </w:rPr>
              <w:t>，最大储存量为</w:t>
            </w:r>
            <w:r>
              <w:rPr>
                <w:rFonts w:hint="eastAsia" w:ascii="Times New Roman" w:hAnsi="Times New Roman" w:eastAsia="宋体" w:cs="Times New Roman"/>
                <w:color w:val="000000"/>
                <w:kern w:val="0"/>
                <w:sz w:val="24"/>
              </w:rPr>
              <w:t>10</w:t>
            </w:r>
            <w:r>
              <w:rPr>
                <w:rFonts w:ascii="Times New Roman" w:hAnsi="Times New Roman" w:eastAsia="宋体" w:cs="Times New Roman"/>
                <w:color w:val="000000"/>
                <w:kern w:val="0"/>
                <w:sz w:val="24"/>
              </w:rPr>
              <w:t>t</w:t>
            </w:r>
            <w:r>
              <w:rPr>
                <w:rFonts w:hint="eastAsia" w:ascii="宋体" w:hAnsi="宋体" w:eastAsia="宋体" w:cs="宋体"/>
                <w:color w:val="000000"/>
                <w:kern w:val="0"/>
                <w:sz w:val="24"/>
              </w:rPr>
              <w:t>，每年周转约</w:t>
            </w:r>
            <w:r>
              <w:rPr>
                <w:rFonts w:ascii="Times New Roman" w:hAnsi="Times New Roman" w:eastAsia="宋体" w:cs="Times New Roman"/>
                <w:color w:val="000000"/>
                <w:kern w:val="0"/>
                <w:sz w:val="24"/>
              </w:rPr>
              <w:t>50</w:t>
            </w:r>
            <w:r>
              <w:rPr>
                <w:rFonts w:hint="eastAsia" w:ascii="宋体" w:hAnsi="宋体" w:eastAsia="宋体" w:cs="宋体"/>
                <w:color w:val="000000"/>
                <w:kern w:val="0"/>
                <w:sz w:val="24"/>
              </w:rPr>
              <w:t>次，仅进行贮存，不涉及加工等处置环节。</w:t>
            </w:r>
          </w:p>
          <w:p>
            <w:pPr>
              <w:snapToGrid w:val="0"/>
              <w:spacing w:line="360" w:lineRule="auto"/>
              <w:ind w:firstLine="480"/>
              <w:rPr>
                <w:rFonts w:ascii="宋体" w:hAnsi="宋体" w:cs="宋体"/>
                <w:b/>
                <w:bCs/>
                <w:sz w:val="24"/>
              </w:rPr>
            </w:pPr>
            <w:r>
              <w:rPr>
                <w:rFonts w:hint="eastAsia" w:ascii="宋体" w:hAnsi="宋体" w:cs="宋体"/>
                <w:b/>
                <w:bCs/>
                <w:sz w:val="24"/>
              </w:rPr>
              <w:t>（3）项目投资</w:t>
            </w:r>
          </w:p>
          <w:p>
            <w:pPr>
              <w:snapToGrid w:val="0"/>
              <w:spacing w:line="360" w:lineRule="auto"/>
              <w:ind w:firstLine="480"/>
              <w:rPr>
                <w:rFonts w:ascii="宋体" w:hAnsi="宋体"/>
                <w:sz w:val="24"/>
              </w:rPr>
            </w:pPr>
            <w:r>
              <w:rPr>
                <w:rFonts w:hint="eastAsia" w:ascii="宋体" w:hAnsi="宋体" w:cs="宋体"/>
                <w:sz w:val="24"/>
              </w:rPr>
              <w:t>项目总投资为</w:t>
            </w:r>
            <w:r>
              <w:rPr>
                <w:rFonts w:hint="eastAsia" w:ascii="宋体" w:hAnsi="宋体" w:cs="宋体"/>
                <w:sz w:val="24"/>
                <w:lang w:val="en-US" w:eastAsia="zh-CN"/>
              </w:rPr>
              <w:t>10</w:t>
            </w:r>
            <w:r>
              <w:rPr>
                <w:rFonts w:hint="eastAsia" w:ascii="宋体" w:hAnsi="宋体" w:cs="宋体"/>
                <w:sz w:val="24"/>
              </w:rPr>
              <w:t>00万元，均为企业自筹。</w:t>
            </w:r>
          </w:p>
          <w:p>
            <w:pPr>
              <w:snapToGrid w:val="0"/>
              <w:spacing w:line="360" w:lineRule="auto"/>
              <w:ind w:firstLine="480"/>
              <w:rPr>
                <w:rFonts w:ascii="宋体" w:hAnsi="宋体" w:cs="宋体"/>
                <w:sz w:val="24"/>
              </w:rPr>
            </w:pPr>
            <w:r>
              <w:rPr>
                <w:rFonts w:hint="eastAsia" w:ascii="宋体" w:hAnsi="宋体" w:cs="宋体"/>
                <w:b/>
                <w:bCs/>
                <w:sz w:val="24"/>
              </w:rPr>
              <w:t>（4）工程组成</w:t>
            </w:r>
          </w:p>
          <w:p>
            <w:pPr>
              <w:snapToGrid w:val="0"/>
              <w:spacing w:line="360" w:lineRule="auto"/>
              <w:ind w:firstLine="600" w:firstLineChars="250"/>
              <w:rPr>
                <w:rFonts w:ascii="宋体" w:hAnsi="宋体" w:cs="宋体"/>
                <w:sz w:val="24"/>
              </w:rPr>
            </w:pPr>
            <w:r>
              <w:rPr>
                <w:rFonts w:hint="eastAsia" w:ascii="宋体" w:hAnsi="宋体" w:cs="宋体"/>
                <w:sz w:val="24"/>
              </w:rPr>
              <w:t>本项目建设内容及组成详见下表</w:t>
            </w:r>
            <w:r>
              <w:rPr>
                <w:rFonts w:hint="eastAsia" w:ascii="宋体" w:hAnsi="宋体" w:cs="宋体"/>
                <w:sz w:val="24"/>
                <w:lang w:val="en-US" w:eastAsia="zh-CN"/>
              </w:rPr>
              <w:t>10。</w:t>
            </w:r>
          </w:p>
          <w:p>
            <w:pPr>
              <w:pStyle w:val="2"/>
              <w:ind w:firstLine="480"/>
              <w:rPr>
                <w:sz w:val="24"/>
              </w:rPr>
            </w:pPr>
          </w:p>
          <w:p>
            <w:pPr>
              <w:pStyle w:val="3"/>
              <w:spacing w:before="62" w:after="62"/>
              <w:rPr>
                <w:sz w:val="24"/>
              </w:rPr>
            </w:pPr>
          </w:p>
          <w:p>
            <w:pPr>
              <w:pStyle w:val="3"/>
              <w:spacing w:before="62" w:after="62"/>
              <w:rPr>
                <w:sz w:val="24"/>
              </w:rPr>
            </w:pPr>
          </w:p>
          <w:p>
            <w:pPr>
              <w:pStyle w:val="3"/>
              <w:spacing w:before="62" w:after="62"/>
              <w:rPr>
                <w:sz w:val="24"/>
              </w:rPr>
            </w:pPr>
          </w:p>
          <w:p>
            <w:pPr>
              <w:pStyle w:val="33"/>
              <w:numPr>
                <w:ilvl w:val="0"/>
                <w:numId w:val="0"/>
              </w:numPr>
              <w:spacing w:line="360" w:lineRule="auto"/>
              <w:rPr>
                <w:rFonts w:ascii="Times New Roman" w:hAnsi="Times New Roman" w:cs="Times New Roman"/>
                <w:bCs/>
                <w:sz w:val="24"/>
                <w:szCs w:val="24"/>
                <w:u w:val="single"/>
              </w:rPr>
            </w:pPr>
            <w:r>
              <w:rPr>
                <w:rFonts w:hint="eastAsia" w:ascii="Times New Roman" w:hAnsi="Times New Roman" w:cs="Times New Roman"/>
                <w:bCs/>
                <w:sz w:val="24"/>
                <w:szCs w:val="24"/>
                <w:u w:val="single"/>
              </w:rPr>
              <w:t>表1</w:t>
            </w:r>
            <w:r>
              <w:rPr>
                <w:rFonts w:hint="eastAsia" w:ascii="Times New Roman" w:hAnsi="Times New Roman" w:cs="Times New Roman"/>
                <w:bCs/>
                <w:sz w:val="24"/>
                <w:szCs w:val="24"/>
                <w:u w:val="single"/>
                <w:lang w:val="en-US" w:eastAsia="zh-CN"/>
              </w:rPr>
              <w:t>0</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u w:val="single"/>
              </w:rPr>
              <w:t>项目工程组成一览表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53"/>
              <w:gridCol w:w="1179"/>
              <w:gridCol w:w="607"/>
              <w:gridCol w:w="1192"/>
              <w:gridCol w:w="36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6" w:type="pct"/>
                  <w:noWrap/>
                  <w:vAlign w:val="center"/>
                </w:tcPr>
                <w:p>
                  <w:pPr>
                    <w:snapToGrid w:val="0"/>
                    <w:spacing w:line="240" w:lineRule="auto"/>
                    <w:jc w:val="center"/>
                    <w:rPr>
                      <w:b/>
                      <w:sz w:val="21"/>
                      <w:szCs w:val="21"/>
                      <w:u w:val="single"/>
                    </w:rPr>
                  </w:pPr>
                  <w:r>
                    <w:rPr>
                      <w:b/>
                      <w:sz w:val="21"/>
                      <w:szCs w:val="21"/>
                      <w:u w:val="single"/>
                    </w:rPr>
                    <w:t>类别</w:t>
                  </w:r>
                </w:p>
              </w:tc>
              <w:tc>
                <w:tcPr>
                  <w:tcW w:w="1192" w:type="pct"/>
                  <w:gridSpan w:val="2"/>
                  <w:noWrap/>
                  <w:vAlign w:val="center"/>
                </w:tcPr>
                <w:p>
                  <w:pPr>
                    <w:snapToGrid w:val="0"/>
                    <w:spacing w:line="240" w:lineRule="auto"/>
                    <w:jc w:val="center"/>
                    <w:rPr>
                      <w:b/>
                      <w:sz w:val="21"/>
                      <w:szCs w:val="21"/>
                      <w:u w:val="single"/>
                    </w:rPr>
                  </w:pPr>
                  <w:r>
                    <w:rPr>
                      <w:b/>
                      <w:sz w:val="21"/>
                      <w:szCs w:val="21"/>
                      <w:u w:val="single"/>
                    </w:rPr>
                    <w:t>单项工程名称</w:t>
                  </w:r>
                </w:p>
              </w:tc>
              <w:tc>
                <w:tcPr>
                  <w:tcW w:w="1110" w:type="pct"/>
                  <w:gridSpan w:val="2"/>
                  <w:noWrap/>
                  <w:vAlign w:val="center"/>
                </w:tcPr>
                <w:p>
                  <w:pPr>
                    <w:snapToGrid w:val="0"/>
                    <w:spacing w:line="240" w:lineRule="auto"/>
                    <w:jc w:val="center"/>
                    <w:rPr>
                      <w:b/>
                      <w:sz w:val="21"/>
                      <w:szCs w:val="21"/>
                      <w:u w:val="single"/>
                    </w:rPr>
                  </w:pPr>
                  <w:r>
                    <w:rPr>
                      <w:b/>
                      <w:sz w:val="21"/>
                      <w:szCs w:val="21"/>
                      <w:u w:val="single"/>
                    </w:rPr>
                    <w:t>工程内容</w:t>
                  </w:r>
                </w:p>
              </w:tc>
              <w:tc>
                <w:tcPr>
                  <w:tcW w:w="2239" w:type="pct"/>
                  <w:noWrap/>
                  <w:vAlign w:val="center"/>
                </w:tcPr>
                <w:p>
                  <w:pPr>
                    <w:snapToGrid w:val="0"/>
                    <w:spacing w:line="240" w:lineRule="auto"/>
                    <w:jc w:val="center"/>
                    <w:rPr>
                      <w:b/>
                      <w:sz w:val="21"/>
                      <w:szCs w:val="21"/>
                      <w:u w:val="single"/>
                    </w:rPr>
                  </w:pPr>
                  <w:r>
                    <w:rPr>
                      <w:b/>
                      <w:sz w:val="21"/>
                      <w:szCs w:val="21"/>
                      <w:u w:val="single"/>
                    </w:rPr>
                    <w:t>备</w:t>
                  </w:r>
                  <w:r>
                    <w:rPr>
                      <w:rFonts w:hint="eastAsia"/>
                      <w:b/>
                      <w:sz w:val="21"/>
                      <w:szCs w:val="21"/>
                      <w:u w:val="single"/>
                      <w:lang w:val="en-US" w:eastAsia="zh-CN"/>
                    </w:rPr>
                    <w:t xml:space="preserve">     </w:t>
                  </w:r>
                  <w:r>
                    <w:rPr>
                      <w:b/>
                      <w:sz w:val="21"/>
                      <w:szCs w:val="21"/>
                      <w:u w:val="single"/>
                    </w:rPr>
                    <w:t>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48" w:hRule="atLeast"/>
              </w:trPr>
              <w:tc>
                <w:tcPr>
                  <w:tcW w:w="456" w:type="pct"/>
                  <w:vMerge w:val="restart"/>
                  <w:noWrap/>
                  <w:vAlign w:val="center"/>
                </w:tcPr>
                <w:p>
                  <w:pPr>
                    <w:snapToGrid w:val="0"/>
                    <w:spacing w:line="240" w:lineRule="auto"/>
                    <w:jc w:val="center"/>
                    <w:rPr>
                      <w:bCs/>
                      <w:sz w:val="21"/>
                      <w:szCs w:val="21"/>
                      <w:u w:val="single"/>
                    </w:rPr>
                  </w:pPr>
                  <w:r>
                    <w:rPr>
                      <w:bCs/>
                      <w:sz w:val="21"/>
                      <w:szCs w:val="21"/>
                      <w:u w:val="single"/>
                    </w:rPr>
                    <w:t>主体工程</w:t>
                  </w: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bCs/>
                      <w:sz w:val="21"/>
                      <w:szCs w:val="21"/>
                      <w:u w:val="single"/>
                    </w:rPr>
                    <w:t>拆解车间</w:t>
                  </w:r>
                </w:p>
              </w:tc>
              <w:tc>
                <w:tcPr>
                  <w:tcW w:w="1110" w:type="pct"/>
                  <w:gridSpan w:val="2"/>
                  <w:noWrap/>
                  <w:vAlign w:val="center"/>
                </w:tcPr>
                <w:p>
                  <w:pPr>
                    <w:snapToGrid w:val="0"/>
                    <w:spacing w:line="240" w:lineRule="auto"/>
                    <w:jc w:val="center"/>
                    <w:rPr>
                      <w:bCs/>
                      <w:sz w:val="21"/>
                      <w:szCs w:val="21"/>
                      <w:u w:val="single"/>
                    </w:rPr>
                  </w:pPr>
                  <w:r>
                    <w:rPr>
                      <w:bCs/>
                      <w:sz w:val="21"/>
                      <w:szCs w:val="21"/>
                      <w:u w:val="single"/>
                    </w:rPr>
                    <w:t>建筑面积</w:t>
                  </w:r>
                  <w:r>
                    <w:rPr>
                      <w:rFonts w:hint="eastAsia"/>
                      <w:bCs/>
                      <w:sz w:val="21"/>
                      <w:szCs w:val="21"/>
                      <w:u w:val="single"/>
                    </w:rPr>
                    <w:t>675</w:t>
                  </w:r>
                  <w:r>
                    <w:rPr>
                      <w:bCs/>
                      <w:sz w:val="21"/>
                      <w:szCs w:val="21"/>
                      <w:u w:val="single"/>
                    </w:rPr>
                    <w:t>m</w:t>
                  </w:r>
                  <w:r>
                    <w:rPr>
                      <w:bCs/>
                      <w:sz w:val="21"/>
                      <w:szCs w:val="21"/>
                      <w:u w:val="single"/>
                      <w:vertAlign w:val="superscript"/>
                    </w:rPr>
                    <w:t>2</w:t>
                  </w:r>
                </w:p>
              </w:tc>
              <w:tc>
                <w:tcPr>
                  <w:tcW w:w="2239"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bCs/>
                      <w:sz w:val="21"/>
                      <w:szCs w:val="21"/>
                      <w:u w:val="single"/>
                    </w:rPr>
                  </w:pPr>
                  <w:r>
                    <w:rPr>
                      <w:rFonts w:hint="eastAsia"/>
                      <w:bCs/>
                      <w:sz w:val="21"/>
                      <w:szCs w:val="21"/>
                      <w:u w:val="single"/>
                    </w:rPr>
                    <w:t>利用现有厂房改建，主要改建内容为地面及裙角防渗处理，</w:t>
                  </w:r>
                  <w:r>
                    <w:rPr>
                      <w:rFonts w:hint="eastAsia"/>
                      <w:bCs/>
                      <w:sz w:val="21"/>
                      <w:szCs w:val="21"/>
                      <w:u w:val="single"/>
                      <w:lang w:eastAsia="zh-CN"/>
                    </w:rPr>
                    <w:t>为</w:t>
                  </w:r>
                  <w:r>
                    <w:rPr>
                      <w:rFonts w:hint="eastAsia"/>
                      <w:bCs/>
                      <w:sz w:val="21"/>
                      <w:szCs w:val="21"/>
                      <w:u w:val="single"/>
                    </w:rPr>
                    <w:t>封闭式拆解车间，位于厂区西侧。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kern w:val="2"/>
                      <w:sz w:val="21"/>
                      <w:szCs w:val="21"/>
                      <w:u w:val="single"/>
                    </w:rPr>
                    <w:t>废机油收储车间（</w:t>
                  </w:r>
                  <w:r>
                    <w:rPr>
                      <w:rFonts w:hint="eastAsia"/>
                      <w:bCs/>
                      <w:kern w:val="2"/>
                      <w:sz w:val="21"/>
                      <w:szCs w:val="21"/>
                      <w:u w:val="single"/>
                      <w:lang w:eastAsia="zh-CN"/>
                    </w:rPr>
                    <w:t>又称</w:t>
                  </w:r>
                  <w:r>
                    <w:rPr>
                      <w:rFonts w:hint="eastAsia"/>
                      <w:bCs/>
                      <w:kern w:val="2"/>
                      <w:sz w:val="21"/>
                      <w:szCs w:val="21"/>
                      <w:u w:val="single"/>
                    </w:rPr>
                    <w:t>危废间）</w:t>
                  </w:r>
                </w:p>
              </w:tc>
              <w:tc>
                <w:tcPr>
                  <w:tcW w:w="1110" w:type="pct"/>
                  <w:gridSpan w:val="2"/>
                  <w:noWrap/>
                  <w:vAlign w:val="center"/>
                </w:tcPr>
                <w:p>
                  <w:pPr>
                    <w:snapToGrid w:val="0"/>
                    <w:spacing w:line="240" w:lineRule="auto"/>
                    <w:jc w:val="center"/>
                    <w:rPr>
                      <w:bCs/>
                      <w:sz w:val="21"/>
                      <w:szCs w:val="21"/>
                      <w:u w:val="single"/>
                    </w:rPr>
                  </w:pPr>
                  <w:r>
                    <w:rPr>
                      <w:bCs/>
                      <w:sz w:val="21"/>
                      <w:szCs w:val="21"/>
                      <w:u w:val="single"/>
                    </w:rPr>
                    <w:t>建筑面积</w:t>
                  </w:r>
                  <w:r>
                    <w:rPr>
                      <w:rFonts w:hint="eastAsia"/>
                      <w:bCs/>
                      <w:sz w:val="21"/>
                      <w:szCs w:val="21"/>
                      <w:u w:val="single"/>
                    </w:rPr>
                    <w:t>260</w:t>
                  </w:r>
                  <w:r>
                    <w:rPr>
                      <w:bCs/>
                      <w:sz w:val="21"/>
                      <w:szCs w:val="21"/>
                      <w:u w:val="single"/>
                    </w:rPr>
                    <w:t>m</w:t>
                  </w:r>
                  <w:r>
                    <w:rPr>
                      <w:bCs/>
                      <w:sz w:val="21"/>
                      <w:szCs w:val="21"/>
                      <w:u w:val="single"/>
                      <w:vertAlign w:val="superscript"/>
                    </w:rPr>
                    <w:t>2</w:t>
                  </w:r>
                </w:p>
              </w:tc>
              <w:tc>
                <w:tcPr>
                  <w:tcW w:w="2239"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bCs/>
                      <w:sz w:val="21"/>
                      <w:szCs w:val="21"/>
                      <w:u w:val="single"/>
                      <w:lang w:eastAsia="zh-CN"/>
                    </w:rPr>
                  </w:pPr>
                  <w:r>
                    <w:rPr>
                      <w:rFonts w:hint="default" w:asciiTheme="minorAscii" w:hAnsiTheme="minorAscii" w:eastAsiaTheme="minorEastAsia"/>
                      <w:bCs/>
                      <w:spacing w:val="-6"/>
                      <w:sz w:val="21"/>
                      <w:szCs w:val="21"/>
                      <w:u w:val="single"/>
                    </w:rPr>
                    <w:t>位于厂区西北</w:t>
                  </w:r>
                  <w:r>
                    <w:rPr>
                      <w:rFonts w:hint="eastAsia" w:asciiTheme="minorAscii" w:hAnsiTheme="minorAscii"/>
                      <w:bCs/>
                      <w:spacing w:val="-6"/>
                      <w:sz w:val="21"/>
                      <w:szCs w:val="21"/>
                      <w:u w:val="single"/>
                      <w:lang w:eastAsia="zh-CN"/>
                    </w:rPr>
                    <w:t>角</w:t>
                  </w:r>
                  <w:r>
                    <w:rPr>
                      <w:rFonts w:hint="default" w:asciiTheme="minorAscii" w:hAnsiTheme="minorAscii" w:eastAsiaTheme="minorEastAsia"/>
                      <w:bCs/>
                      <w:spacing w:val="-6"/>
                      <w:sz w:val="21"/>
                      <w:szCs w:val="21"/>
                      <w:u w:val="single"/>
                    </w:rPr>
                    <w:t>，</w:t>
                  </w:r>
                  <w:r>
                    <w:rPr>
                      <w:rFonts w:hint="default" w:asciiTheme="minorAscii" w:hAnsiTheme="minorAscii" w:eastAsiaTheme="minorEastAsia"/>
                      <w:spacing w:val="-6"/>
                      <w:sz w:val="21"/>
                      <w:szCs w:val="21"/>
                      <w:u w:val="single"/>
                    </w:rPr>
                    <w:t>内设1个储油罐1</w:t>
                  </w:r>
                  <w:r>
                    <w:rPr>
                      <w:rFonts w:hint="default" w:asciiTheme="minorAscii" w:hAnsiTheme="minorAscii" w:eastAsiaTheme="minorEastAsia"/>
                      <w:spacing w:val="-6"/>
                      <w:sz w:val="21"/>
                      <w:szCs w:val="21"/>
                      <w:u w:val="single"/>
                      <w:lang w:val="en-US" w:eastAsia="zh-CN"/>
                    </w:rPr>
                    <w:t>2</w:t>
                  </w:r>
                  <w:r>
                    <w:rPr>
                      <w:rFonts w:hint="default" w:asciiTheme="minorAscii" w:hAnsiTheme="minorAscii" w:eastAsiaTheme="minorEastAsia"/>
                      <w:spacing w:val="-6"/>
                      <w:sz w:val="21"/>
                      <w:szCs w:val="21"/>
                      <w:u w:val="single"/>
                    </w:rPr>
                    <w:t>m</w:t>
                  </w:r>
                  <w:r>
                    <w:rPr>
                      <w:rFonts w:hint="default" w:asciiTheme="minorAscii" w:hAnsiTheme="minorAscii" w:eastAsiaTheme="minorEastAsia"/>
                      <w:spacing w:val="-6"/>
                      <w:sz w:val="21"/>
                      <w:szCs w:val="21"/>
                      <w:u w:val="single"/>
                      <w:vertAlign w:val="superscript"/>
                    </w:rPr>
                    <w:t>3</w:t>
                  </w:r>
                  <w:r>
                    <w:rPr>
                      <w:rFonts w:hint="eastAsia"/>
                      <w:sz w:val="21"/>
                      <w:szCs w:val="21"/>
                      <w:u w:val="single"/>
                    </w:rPr>
                    <w:t>，</w:t>
                  </w:r>
                  <w:r>
                    <w:rPr>
                      <w:rFonts w:hint="eastAsia"/>
                      <w:bCs/>
                      <w:sz w:val="21"/>
                      <w:szCs w:val="21"/>
                      <w:u w:val="single"/>
                    </w:rPr>
                    <w:t>密度约为0.91×10³</w:t>
                  </w:r>
                  <w:r>
                    <w:rPr>
                      <w:rFonts w:hint="eastAsia"/>
                      <w:bCs/>
                      <w:sz w:val="21"/>
                      <w:szCs w:val="21"/>
                      <w:u w:val="single"/>
                      <w:lang w:eastAsia="zh-CN"/>
                    </w:rPr>
                    <w:t>（</w:t>
                  </w:r>
                  <w:r>
                    <w:rPr>
                      <w:rFonts w:hint="eastAsia"/>
                      <w:bCs/>
                      <w:sz w:val="21"/>
                      <w:szCs w:val="21"/>
                      <w:u w:val="single"/>
                    </w:rPr>
                    <w:t>kg/m³</w:t>
                  </w:r>
                  <w:r>
                    <w:rPr>
                      <w:rFonts w:hint="default"/>
                      <w:bCs/>
                      <w:sz w:val="21"/>
                      <w:szCs w:val="21"/>
                      <w:u w:val="single"/>
                      <w:lang w:val="en-US"/>
                    </w:rPr>
                    <w:t>)</w:t>
                  </w:r>
                  <w:r>
                    <w:rPr>
                      <w:rFonts w:hint="eastAsia"/>
                      <w:bCs/>
                      <w:sz w:val="21"/>
                      <w:szCs w:val="21"/>
                      <w:u w:val="single"/>
                      <w:lang w:val="en-US" w:eastAsia="zh-CN"/>
                    </w:rPr>
                    <w:t>，</w:t>
                  </w:r>
                  <w:r>
                    <w:rPr>
                      <w:rFonts w:hint="eastAsia"/>
                      <w:sz w:val="21"/>
                      <w:szCs w:val="21"/>
                      <w:u w:val="single"/>
                    </w:rPr>
                    <w:t>废机油储罐口处</w:t>
                  </w:r>
                  <w:r>
                    <w:rPr>
                      <w:rFonts w:hint="eastAsia"/>
                      <w:sz w:val="21"/>
                      <w:szCs w:val="21"/>
                      <w:u w:val="single"/>
                      <w:lang w:eastAsia="zh-CN"/>
                    </w:rPr>
                    <w:t>设置集气罩</w:t>
                  </w:r>
                  <w:r>
                    <w:rPr>
                      <w:rFonts w:hint="eastAsia"/>
                      <w:sz w:val="21"/>
                      <w:szCs w:val="21"/>
                      <w:u w:val="single"/>
                      <w:lang w:val="en-US" w:eastAsia="zh-CN"/>
                    </w:rPr>
                    <w:t>+</w:t>
                  </w:r>
                  <w:r>
                    <w:rPr>
                      <w:rFonts w:hint="eastAsia"/>
                      <w:sz w:val="21"/>
                      <w:szCs w:val="21"/>
                      <w:u w:val="single"/>
                    </w:rPr>
                    <w:t>活性炭吸附装置</w:t>
                  </w:r>
                  <w:r>
                    <w:rPr>
                      <w:rFonts w:hint="eastAsia"/>
                      <w:bCs/>
                      <w:sz w:val="21"/>
                      <w:szCs w:val="21"/>
                      <w:u w:val="single"/>
                    </w:rPr>
                    <w:t>。</w:t>
                  </w:r>
                  <w:r>
                    <w:rPr>
                      <w:rFonts w:hint="eastAsia"/>
                      <w:bCs/>
                      <w:sz w:val="21"/>
                      <w:szCs w:val="21"/>
                      <w:u w:val="single"/>
                      <w:lang w:eastAsia="zh-CN"/>
                    </w:rPr>
                    <w:t>废机油收储车间与其它</w:t>
                  </w:r>
                  <w:r>
                    <w:rPr>
                      <w:rFonts w:hint="eastAsia"/>
                      <w:color w:val="000000" w:themeColor="text1"/>
                      <w:sz w:val="21"/>
                      <w:szCs w:val="21"/>
                      <w:u w:val="single"/>
                      <w:lang w:val="en-US" w:eastAsia="zh-CN"/>
                    </w:rPr>
                    <w:t>废险废物存储设置分区存放，如拆解过程中废铅蓄电池出现破损情况应及时用专业收集容器</w:t>
                  </w:r>
                  <w:r>
                    <w:rPr>
                      <w:rFonts w:hint="default"/>
                      <w:color w:val="000000" w:themeColor="text1"/>
                      <w:sz w:val="21"/>
                      <w:szCs w:val="21"/>
                      <w:u w:val="single"/>
                      <w:lang w:val="en-US" w:eastAsia="zh-CN"/>
                    </w:rPr>
                    <w:t>(</w:t>
                  </w:r>
                  <w:r>
                    <w:rPr>
                      <w:rFonts w:hint="eastAsia"/>
                      <w:color w:val="000000" w:themeColor="text1"/>
                      <w:sz w:val="21"/>
                      <w:szCs w:val="21"/>
                      <w:u w:val="single"/>
                      <w:lang w:val="en-US" w:eastAsia="zh-CN"/>
                    </w:rPr>
                    <w:t>耐酸、防渗</w:t>
                  </w:r>
                  <w:r>
                    <w:rPr>
                      <w:rFonts w:hint="default"/>
                      <w:color w:val="000000" w:themeColor="text1"/>
                      <w:sz w:val="21"/>
                      <w:szCs w:val="21"/>
                      <w:u w:val="single"/>
                      <w:lang w:val="en-US" w:eastAsia="zh-CN"/>
                    </w:rPr>
                    <w:t>)</w:t>
                  </w:r>
                  <w:r>
                    <w:rPr>
                      <w:rFonts w:hint="eastAsia"/>
                      <w:color w:val="000000" w:themeColor="text1"/>
                      <w:sz w:val="21"/>
                      <w:szCs w:val="21"/>
                      <w:u w:val="single"/>
                      <w:lang w:val="en-US" w:eastAsia="zh-CN"/>
                    </w:rPr>
                    <w:t>对其进行密闭收集，存放至危废间内破损电瓶储存区。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56" w:type="pct"/>
                  <w:vMerge w:val="restart"/>
                  <w:noWrap/>
                  <w:vAlign w:val="center"/>
                </w:tcPr>
                <w:p>
                  <w:pPr>
                    <w:snapToGrid w:val="0"/>
                    <w:spacing w:line="240" w:lineRule="auto"/>
                    <w:jc w:val="center"/>
                    <w:rPr>
                      <w:bCs/>
                      <w:sz w:val="21"/>
                      <w:szCs w:val="21"/>
                      <w:u w:val="single"/>
                    </w:rPr>
                  </w:pPr>
                  <w:r>
                    <w:rPr>
                      <w:rFonts w:hint="eastAsia"/>
                      <w:bCs/>
                      <w:sz w:val="21"/>
                      <w:szCs w:val="21"/>
                      <w:u w:val="single"/>
                    </w:rPr>
                    <w:t>储运工程</w:t>
                  </w: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lang w:eastAsia="zh-CN"/>
                    </w:rPr>
                    <w:t>库房</w:t>
                  </w:r>
                  <w:r>
                    <w:rPr>
                      <w:rFonts w:hint="eastAsia"/>
                      <w:bCs/>
                      <w:sz w:val="21"/>
                      <w:szCs w:val="21"/>
                      <w:u w:val="single"/>
                    </w:rPr>
                    <w:t>①</w:t>
                  </w:r>
                </w:p>
              </w:tc>
              <w:tc>
                <w:tcPr>
                  <w:tcW w:w="1110" w:type="pct"/>
                  <w:gridSpan w:val="2"/>
                  <w:noWrap/>
                  <w:vAlign w:val="center"/>
                </w:tcPr>
                <w:p>
                  <w:pPr>
                    <w:snapToGrid w:val="0"/>
                    <w:spacing w:line="240" w:lineRule="auto"/>
                    <w:jc w:val="center"/>
                    <w:rPr>
                      <w:bCs/>
                      <w:sz w:val="21"/>
                      <w:szCs w:val="21"/>
                      <w:u w:val="single"/>
                    </w:rPr>
                  </w:pPr>
                  <w:r>
                    <w:rPr>
                      <w:rFonts w:hint="eastAsia"/>
                      <w:bCs/>
                      <w:sz w:val="21"/>
                      <w:szCs w:val="21"/>
                      <w:u w:val="single"/>
                    </w:rPr>
                    <w:t>建筑面积750</w:t>
                  </w:r>
                  <w:r>
                    <w:rPr>
                      <w:bCs/>
                      <w:sz w:val="21"/>
                      <w:szCs w:val="21"/>
                      <w:u w:val="single"/>
                    </w:rPr>
                    <w:t>m</w:t>
                  </w:r>
                  <w:r>
                    <w:rPr>
                      <w:bCs/>
                      <w:sz w:val="21"/>
                      <w:szCs w:val="21"/>
                      <w:u w:val="single"/>
                      <w:vertAlign w:val="superscript"/>
                    </w:rPr>
                    <w:t>2</w:t>
                  </w:r>
                </w:p>
              </w:tc>
              <w:tc>
                <w:tcPr>
                  <w:tcW w:w="2239" w:type="pct"/>
                  <w:vMerge w:val="restart"/>
                  <w:noWrap/>
                  <w:vAlign w:val="center"/>
                </w:tcPr>
                <w:p>
                  <w:pPr>
                    <w:snapToGrid w:val="0"/>
                    <w:spacing w:line="240" w:lineRule="auto"/>
                    <w:jc w:val="center"/>
                    <w:rPr>
                      <w:bCs/>
                      <w:sz w:val="21"/>
                      <w:szCs w:val="21"/>
                      <w:u w:val="single"/>
                    </w:rPr>
                  </w:pPr>
                  <w:r>
                    <w:rPr>
                      <w:rFonts w:hint="eastAsia"/>
                      <w:bCs/>
                      <w:sz w:val="21"/>
                      <w:szCs w:val="21"/>
                      <w:u w:val="single"/>
                    </w:rPr>
                    <w:t>利用现有厂房，用于拆解后一般工业固体废物</w:t>
                  </w:r>
                  <w:r>
                    <w:rPr>
                      <w:rFonts w:hint="eastAsia"/>
                      <w:bCs/>
                      <w:sz w:val="21"/>
                      <w:szCs w:val="21"/>
                      <w:u w:val="single"/>
                      <w:lang w:eastAsia="zh-CN"/>
                    </w:rPr>
                    <w:t>储</w:t>
                  </w:r>
                  <w:r>
                    <w:rPr>
                      <w:rFonts w:hint="eastAsia"/>
                      <w:bCs/>
                      <w:sz w:val="21"/>
                      <w:szCs w:val="21"/>
                      <w:u w:val="single"/>
                    </w:rPr>
                    <w:t>存，属于封闭式存储</w:t>
                  </w:r>
                  <w:r>
                    <w:rPr>
                      <w:rFonts w:hint="eastAsia"/>
                      <w:bCs/>
                      <w:sz w:val="21"/>
                      <w:szCs w:val="21"/>
                      <w:u w:val="single"/>
                      <w:lang w:eastAsia="zh-CN"/>
                    </w:rPr>
                    <w:t>仓库</w:t>
                  </w:r>
                  <w:r>
                    <w:rPr>
                      <w:rFonts w:hint="eastAsia"/>
                      <w:bCs/>
                      <w:sz w:val="21"/>
                      <w:szCs w:val="21"/>
                      <w:u w:val="single"/>
                    </w:rPr>
                    <w:t>，位于厂区东侧及北侧。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05" w:hRule="atLeast"/>
              </w:trPr>
              <w:tc>
                <w:tcPr>
                  <w:tcW w:w="456" w:type="pct"/>
                  <w:vMerge w:val="continue"/>
                  <w:noWrap/>
                  <w:vAlign w:val="center"/>
                </w:tcPr>
                <w:p>
                  <w:pPr>
                    <w:snapToGrid w:val="0"/>
                    <w:spacing w:line="240" w:lineRule="auto"/>
                    <w:jc w:val="center"/>
                    <w:rPr>
                      <w:sz w:val="21"/>
                      <w:szCs w:val="21"/>
                      <w:u w:val="single"/>
                    </w:rPr>
                  </w:pPr>
                </w:p>
              </w:tc>
              <w:tc>
                <w:tcPr>
                  <w:tcW w:w="1192" w:type="pct"/>
                  <w:gridSpan w:val="2"/>
                  <w:noWrap/>
                  <w:vAlign w:val="center"/>
                </w:tcPr>
                <w:p>
                  <w:pPr>
                    <w:snapToGrid w:val="0"/>
                    <w:spacing w:line="240" w:lineRule="auto"/>
                    <w:jc w:val="center"/>
                    <w:rPr>
                      <w:bCs/>
                      <w:sz w:val="21"/>
                      <w:szCs w:val="21"/>
                      <w:u w:val="single"/>
                    </w:rPr>
                  </w:pPr>
                  <w:r>
                    <w:rPr>
                      <w:rFonts w:hint="eastAsia"/>
                      <w:bCs/>
                      <w:sz w:val="21"/>
                      <w:szCs w:val="21"/>
                      <w:u w:val="single"/>
                      <w:lang w:eastAsia="zh-CN"/>
                    </w:rPr>
                    <w:t>库房</w:t>
                  </w:r>
                  <w:r>
                    <w:rPr>
                      <w:rFonts w:hint="eastAsia"/>
                      <w:bCs/>
                      <w:sz w:val="21"/>
                      <w:szCs w:val="21"/>
                      <w:u w:val="single"/>
                    </w:rPr>
                    <w:t>②</w:t>
                  </w:r>
                </w:p>
              </w:tc>
              <w:tc>
                <w:tcPr>
                  <w:tcW w:w="1110" w:type="pct"/>
                  <w:gridSpan w:val="2"/>
                  <w:noWrap/>
                  <w:vAlign w:val="center"/>
                </w:tcPr>
                <w:p>
                  <w:pPr>
                    <w:snapToGrid w:val="0"/>
                    <w:spacing w:line="240" w:lineRule="auto"/>
                    <w:jc w:val="center"/>
                    <w:rPr>
                      <w:bCs/>
                      <w:sz w:val="21"/>
                      <w:szCs w:val="21"/>
                      <w:u w:val="single"/>
                    </w:rPr>
                  </w:pPr>
                  <w:r>
                    <w:rPr>
                      <w:rFonts w:hint="eastAsia"/>
                      <w:bCs/>
                      <w:sz w:val="21"/>
                      <w:szCs w:val="21"/>
                      <w:u w:val="single"/>
                    </w:rPr>
                    <w:t>建筑面积800</w:t>
                  </w:r>
                  <w:r>
                    <w:rPr>
                      <w:bCs/>
                      <w:sz w:val="21"/>
                      <w:szCs w:val="21"/>
                      <w:u w:val="single"/>
                    </w:rPr>
                    <w:t>m</w:t>
                  </w:r>
                  <w:r>
                    <w:rPr>
                      <w:bCs/>
                      <w:sz w:val="21"/>
                      <w:szCs w:val="21"/>
                      <w:u w:val="single"/>
                      <w:vertAlign w:val="superscript"/>
                    </w:rPr>
                    <w:t>2</w:t>
                  </w:r>
                </w:p>
              </w:tc>
              <w:tc>
                <w:tcPr>
                  <w:tcW w:w="2239" w:type="pct"/>
                  <w:vMerge w:val="continue"/>
                  <w:noWrap/>
                  <w:vAlign w:val="center"/>
                </w:tcPr>
                <w:p>
                  <w:pPr>
                    <w:snapToGrid w:val="0"/>
                    <w:spacing w:line="240" w:lineRule="auto"/>
                    <w:jc w:val="center"/>
                    <w:rPr>
                      <w:b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lang w:eastAsia="zh-CN"/>
                    </w:rPr>
                    <w:t>露天</w:t>
                  </w:r>
                  <w:r>
                    <w:rPr>
                      <w:rFonts w:hint="eastAsia"/>
                      <w:bCs/>
                      <w:sz w:val="21"/>
                      <w:szCs w:val="21"/>
                      <w:u w:val="single"/>
                    </w:rPr>
                    <w:t>存车场</w:t>
                  </w:r>
                </w:p>
              </w:tc>
              <w:tc>
                <w:tcPr>
                  <w:tcW w:w="1110" w:type="pct"/>
                  <w:gridSpan w:val="2"/>
                  <w:noWrap/>
                  <w:vAlign w:val="center"/>
                </w:tcPr>
                <w:p>
                  <w:pPr>
                    <w:snapToGrid w:val="0"/>
                    <w:spacing w:line="240" w:lineRule="auto"/>
                    <w:jc w:val="center"/>
                    <w:rPr>
                      <w:bCs/>
                      <w:sz w:val="21"/>
                      <w:szCs w:val="21"/>
                      <w:u w:val="single"/>
                    </w:rPr>
                  </w:pPr>
                  <w:r>
                    <w:rPr>
                      <w:rFonts w:hint="eastAsia"/>
                      <w:bCs/>
                      <w:sz w:val="21"/>
                      <w:szCs w:val="21"/>
                      <w:u w:val="single"/>
                    </w:rPr>
                    <w:t>建筑</w:t>
                  </w:r>
                  <w:r>
                    <w:rPr>
                      <w:bCs/>
                      <w:sz w:val="21"/>
                      <w:szCs w:val="21"/>
                      <w:u w:val="single"/>
                    </w:rPr>
                    <w:t>面积</w:t>
                  </w:r>
                  <w:r>
                    <w:rPr>
                      <w:rFonts w:hint="eastAsia"/>
                      <w:bCs/>
                      <w:sz w:val="21"/>
                      <w:szCs w:val="21"/>
                      <w:u w:val="single"/>
                    </w:rPr>
                    <w:t>3000</w:t>
                  </w:r>
                  <w:r>
                    <w:rPr>
                      <w:bCs/>
                      <w:sz w:val="21"/>
                      <w:szCs w:val="21"/>
                      <w:u w:val="single"/>
                    </w:rPr>
                    <w:t>m</w:t>
                  </w:r>
                  <w:r>
                    <w:rPr>
                      <w:bCs/>
                      <w:sz w:val="21"/>
                      <w:szCs w:val="21"/>
                      <w:u w:val="single"/>
                      <w:vertAlign w:val="superscript"/>
                    </w:rPr>
                    <w:t>2</w:t>
                  </w:r>
                </w:p>
              </w:tc>
              <w:tc>
                <w:tcPr>
                  <w:tcW w:w="2239" w:type="pct"/>
                  <w:noWrap/>
                  <w:vAlign w:val="center"/>
                </w:tcPr>
                <w:p>
                  <w:pPr>
                    <w:snapToGrid w:val="0"/>
                    <w:spacing w:line="240" w:lineRule="auto"/>
                    <w:jc w:val="center"/>
                    <w:rPr>
                      <w:bCs/>
                      <w:sz w:val="21"/>
                      <w:szCs w:val="21"/>
                      <w:u w:val="single"/>
                    </w:rPr>
                  </w:pPr>
                  <w:r>
                    <w:rPr>
                      <w:rFonts w:hint="eastAsia"/>
                      <w:bCs/>
                      <w:sz w:val="21"/>
                      <w:szCs w:val="21"/>
                      <w:u w:val="single"/>
                    </w:rPr>
                    <w:t>位于厂区中间及两个仓库</w:t>
                  </w:r>
                  <w:r>
                    <w:rPr>
                      <w:rFonts w:hint="eastAsia"/>
                      <w:bCs/>
                      <w:sz w:val="21"/>
                      <w:szCs w:val="21"/>
                      <w:u w:val="single"/>
                      <w:lang w:eastAsia="zh-CN"/>
                    </w:rPr>
                    <w:t>门前</w:t>
                  </w:r>
                  <w:r>
                    <w:rPr>
                      <w:rFonts w:hint="eastAsia"/>
                      <w:bCs/>
                      <w:sz w:val="21"/>
                      <w:szCs w:val="21"/>
                      <w:u w:val="single"/>
                    </w:rPr>
                    <w:t>，</w:t>
                  </w:r>
                </w:p>
                <w:p>
                  <w:pPr>
                    <w:snapToGrid w:val="0"/>
                    <w:spacing w:line="240" w:lineRule="auto"/>
                    <w:jc w:val="center"/>
                    <w:rPr>
                      <w:bCs/>
                      <w:sz w:val="21"/>
                      <w:szCs w:val="21"/>
                      <w:u w:val="single"/>
                    </w:rPr>
                  </w:pPr>
                  <w:r>
                    <w:rPr>
                      <w:rFonts w:hint="eastAsia"/>
                      <w:bCs/>
                      <w:sz w:val="21"/>
                      <w:szCs w:val="21"/>
                      <w:u w:val="single"/>
                    </w:rPr>
                    <w:t>用于报废农机</w:t>
                  </w:r>
                  <w:r>
                    <w:rPr>
                      <w:rFonts w:hint="eastAsia"/>
                      <w:bCs/>
                      <w:sz w:val="21"/>
                      <w:szCs w:val="21"/>
                      <w:u w:val="single"/>
                      <w:lang w:eastAsia="zh-CN"/>
                    </w:rPr>
                    <w:t>车</w:t>
                  </w:r>
                  <w:r>
                    <w:rPr>
                      <w:rFonts w:hint="eastAsia"/>
                      <w:bCs/>
                      <w:sz w:val="21"/>
                      <w:szCs w:val="21"/>
                      <w:u w:val="single"/>
                    </w:rPr>
                    <w:t>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事故应急池</w:t>
                  </w:r>
                </w:p>
              </w:tc>
              <w:tc>
                <w:tcPr>
                  <w:tcW w:w="1110" w:type="pct"/>
                  <w:gridSpan w:val="2"/>
                  <w:noWrap/>
                  <w:vAlign w:val="center"/>
                </w:tcPr>
                <w:p>
                  <w:pPr>
                    <w:snapToGrid w:val="0"/>
                    <w:spacing w:line="240" w:lineRule="auto"/>
                    <w:jc w:val="center"/>
                    <w:rPr>
                      <w:bCs/>
                      <w:sz w:val="21"/>
                      <w:szCs w:val="21"/>
                      <w:u w:val="single"/>
                    </w:rPr>
                  </w:pPr>
                  <w:r>
                    <w:rPr>
                      <w:rFonts w:hint="eastAsia"/>
                      <w:color w:val="000000" w:themeColor="text1"/>
                      <w:sz w:val="21"/>
                      <w:szCs w:val="21"/>
                      <w:u w:val="single"/>
                    </w:rPr>
                    <w:t>30</w:t>
                  </w:r>
                  <w:r>
                    <w:rPr>
                      <w:color w:val="000000" w:themeColor="text1"/>
                      <w:sz w:val="21"/>
                      <w:szCs w:val="21"/>
                      <w:u w:val="single"/>
                    </w:rPr>
                    <w:t>m</w:t>
                  </w:r>
                  <w:r>
                    <w:rPr>
                      <w:color w:val="000000" w:themeColor="text1"/>
                      <w:sz w:val="21"/>
                      <w:szCs w:val="21"/>
                      <w:u w:val="single"/>
                      <w:vertAlign w:val="superscript"/>
                    </w:rPr>
                    <w:t>3</w:t>
                  </w:r>
                </w:p>
              </w:tc>
              <w:tc>
                <w:tcPr>
                  <w:tcW w:w="2239" w:type="pct"/>
                  <w:noWrap/>
                  <w:vAlign w:val="center"/>
                </w:tcPr>
                <w:p>
                  <w:pPr>
                    <w:snapToGrid w:val="0"/>
                    <w:spacing w:line="240" w:lineRule="auto"/>
                    <w:jc w:val="center"/>
                    <w:rPr>
                      <w:color w:val="000000" w:themeColor="text1"/>
                      <w:sz w:val="21"/>
                      <w:szCs w:val="21"/>
                      <w:u w:val="single"/>
                    </w:rPr>
                  </w:pPr>
                  <w:r>
                    <w:rPr>
                      <w:color w:val="000000" w:themeColor="text1"/>
                      <w:sz w:val="21"/>
                      <w:szCs w:val="21"/>
                      <w:u w:val="single"/>
                    </w:rPr>
                    <w:t>新建一座</w:t>
                  </w:r>
                  <w:r>
                    <w:rPr>
                      <w:rFonts w:hint="eastAsia"/>
                      <w:color w:val="000000" w:themeColor="text1"/>
                      <w:sz w:val="21"/>
                      <w:szCs w:val="21"/>
                      <w:u w:val="single"/>
                    </w:rPr>
                    <w:t>地下式</w:t>
                  </w:r>
                  <w:r>
                    <w:rPr>
                      <w:color w:val="000000" w:themeColor="text1"/>
                      <w:sz w:val="21"/>
                      <w:szCs w:val="21"/>
                      <w:u w:val="single"/>
                    </w:rPr>
                    <w:t>应急事故池，</w:t>
                  </w:r>
                </w:p>
                <w:p>
                  <w:pPr>
                    <w:snapToGrid w:val="0"/>
                    <w:spacing w:line="240" w:lineRule="auto"/>
                    <w:jc w:val="center"/>
                    <w:rPr>
                      <w:rFonts w:hint="eastAsia" w:eastAsiaTheme="minorEastAsia"/>
                      <w:bCs/>
                      <w:sz w:val="21"/>
                      <w:szCs w:val="21"/>
                      <w:u w:val="single"/>
                      <w:lang w:val="en-US" w:eastAsia="zh-CN"/>
                    </w:rPr>
                  </w:pPr>
                  <w:r>
                    <w:rPr>
                      <w:color w:val="000000" w:themeColor="text1"/>
                      <w:sz w:val="21"/>
                      <w:szCs w:val="21"/>
                      <w:u w:val="single"/>
                    </w:rPr>
                    <w:t>位于</w:t>
                  </w:r>
                  <w:r>
                    <w:rPr>
                      <w:rFonts w:hint="eastAsia"/>
                      <w:sz w:val="21"/>
                      <w:szCs w:val="21"/>
                      <w:u w:val="single"/>
                    </w:rPr>
                    <w:t>废机油收储</w:t>
                  </w:r>
                  <w:r>
                    <w:rPr>
                      <w:sz w:val="21"/>
                      <w:szCs w:val="21"/>
                      <w:u w:val="single"/>
                    </w:rPr>
                    <w:t>车间</w:t>
                  </w:r>
                  <w:r>
                    <w:rPr>
                      <w:rFonts w:hint="eastAsia"/>
                      <w:color w:val="000000" w:themeColor="text1"/>
                      <w:sz w:val="21"/>
                      <w:szCs w:val="21"/>
                      <w:u w:val="single"/>
                    </w:rPr>
                    <w:t>内南侧</w:t>
                  </w:r>
                  <w:r>
                    <w:rPr>
                      <w:rFonts w:hint="default"/>
                      <w:color w:val="000000" w:themeColor="text1"/>
                      <w:sz w:val="21"/>
                      <w:szCs w:val="21"/>
                      <w:u w:val="single"/>
                      <w:lang w:val="en-US"/>
                    </w:rPr>
                    <w:t>(</w:t>
                  </w:r>
                  <w:r>
                    <w:rPr>
                      <w:rFonts w:hint="eastAsia"/>
                      <w:color w:val="000000" w:themeColor="text1"/>
                      <w:sz w:val="21"/>
                      <w:szCs w:val="21"/>
                      <w:u w:val="single"/>
                      <w:lang w:eastAsia="zh-CN"/>
                    </w:rPr>
                    <w:t>地下</w:t>
                  </w:r>
                  <w:r>
                    <w:rPr>
                      <w:rFonts w:hint="default"/>
                      <w:color w:val="000000" w:themeColor="text1"/>
                      <w:sz w:val="21"/>
                      <w:szCs w:val="21"/>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lang w:eastAsia="zh-CN"/>
                    </w:rPr>
                    <w:t>沉淀池</w:t>
                  </w:r>
                </w:p>
              </w:tc>
              <w:tc>
                <w:tcPr>
                  <w:tcW w:w="1110" w:type="pct"/>
                  <w:gridSpan w:val="2"/>
                  <w:noWrap/>
                  <w:vAlign w:val="center"/>
                </w:tcPr>
                <w:p>
                  <w:pPr>
                    <w:snapToGrid w:val="0"/>
                    <w:spacing w:line="240" w:lineRule="auto"/>
                    <w:jc w:val="center"/>
                    <w:rPr>
                      <w:bCs/>
                      <w:sz w:val="21"/>
                      <w:szCs w:val="21"/>
                      <w:u w:val="single"/>
                    </w:rPr>
                  </w:pPr>
                  <w:r>
                    <w:rPr>
                      <w:rFonts w:hint="eastAsia"/>
                      <w:bCs/>
                      <w:sz w:val="21"/>
                      <w:szCs w:val="21"/>
                      <w:u w:val="single"/>
                    </w:rPr>
                    <w:t>20</w:t>
                  </w:r>
                  <w:r>
                    <w:rPr>
                      <w:bCs/>
                      <w:sz w:val="21"/>
                      <w:szCs w:val="21"/>
                      <w:u w:val="single"/>
                    </w:rPr>
                    <w:t>m</w:t>
                  </w:r>
                  <w:r>
                    <w:rPr>
                      <w:bCs/>
                      <w:sz w:val="21"/>
                      <w:szCs w:val="21"/>
                      <w:u w:val="single"/>
                      <w:vertAlign w:val="superscript"/>
                    </w:rPr>
                    <w:t>3</w:t>
                  </w:r>
                </w:p>
              </w:tc>
              <w:tc>
                <w:tcPr>
                  <w:tcW w:w="2239" w:type="pct"/>
                  <w:noWrap/>
                  <w:vAlign w:val="center"/>
                </w:tcPr>
                <w:p>
                  <w:pPr>
                    <w:snapToGrid w:val="0"/>
                    <w:spacing w:line="240" w:lineRule="auto"/>
                    <w:jc w:val="center"/>
                    <w:rPr>
                      <w:bCs/>
                      <w:sz w:val="21"/>
                      <w:szCs w:val="21"/>
                      <w:u w:val="single"/>
                    </w:rPr>
                  </w:pPr>
                  <w:r>
                    <w:rPr>
                      <w:color w:val="000000" w:themeColor="text1"/>
                      <w:sz w:val="21"/>
                      <w:szCs w:val="21"/>
                      <w:u w:val="single"/>
                    </w:rPr>
                    <w:t>新建一座</w:t>
                  </w:r>
                  <w:r>
                    <w:rPr>
                      <w:rFonts w:hint="eastAsia"/>
                      <w:color w:val="000000" w:themeColor="text1"/>
                      <w:sz w:val="21"/>
                      <w:szCs w:val="21"/>
                      <w:u w:val="single"/>
                    </w:rPr>
                    <w:t>地下</w:t>
                  </w:r>
                  <w:r>
                    <w:rPr>
                      <w:rFonts w:hint="eastAsia"/>
                      <w:color w:val="000000" w:themeColor="text1"/>
                      <w:sz w:val="21"/>
                      <w:szCs w:val="21"/>
                      <w:u w:val="single"/>
                      <w:lang w:eastAsia="zh-CN"/>
                    </w:rPr>
                    <w:t>沉淀</w:t>
                  </w:r>
                  <w:r>
                    <w:rPr>
                      <w:color w:val="000000" w:themeColor="text1"/>
                      <w:sz w:val="21"/>
                      <w:szCs w:val="21"/>
                      <w:u w:val="single"/>
                    </w:rPr>
                    <w:t>池，</w:t>
                  </w:r>
                  <w:r>
                    <w:rPr>
                      <w:rFonts w:hint="eastAsia"/>
                      <w:color w:val="000000" w:themeColor="text1"/>
                      <w:sz w:val="21"/>
                      <w:szCs w:val="21"/>
                      <w:u w:val="single"/>
                      <w:lang w:eastAsia="zh-CN"/>
                    </w:rPr>
                    <w:t>用于收集生产废水及初期雨水，</w:t>
                  </w:r>
                  <w:r>
                    <w:rPr>
                      <w:color w:val="000000" w:themeColor="text1"/>
                      <w:sz w:val="21"/>
                      <w:szCs w:val="21"/>
                      <w:u w:val="single"/>
                    </w:rPr>
                    <w:t>位于</w:t>
                  </w:r>
                  <w:r>
                    <w:rPr>
                      <w:rFonts w:hint="eastAsia"/>
                      <w:color w:val="000000" w:themeColor="text1"/>
                      <w:sz w:val="21"/>
                      <w:szCs w:val="21"/>
                      <w:u w:val="single"/>
                    </w:rPr>
                    <w:t>存车场北侧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56" w:type="pct"/>
                  <w:noWrap/>
                  <w:vAlign w:val="center"/>
                </w:tcPr>
                <w:p>
                  <w:pPr>
                    <w:snapToGrid w:val="0"/>
                    <w:spacing w:line="240" w:lineRule="auto"/>
                    <w:jc w:val="center"/>
                    <w:rPr>
                      <w:bCs/>
                      <w:sz w:val="21"/>
                      <w:szCs w:val="21"/>
                      <w:u w:val="single"/>
                    </w:rPr>
                  </w:pPr>
                  <w:r>
                    <w:rPr>
                      <w:bCs/>
                      <w:sz w:val="21"/>
                      <w:szCs w:val="21"/>
                      <w:u w:val="single"/>
                    </w:rPr>
                    <w:t>辅助工程</w:t>
                  </w:r>
                </w:p>
              </w:tc>
              <w:tc>
                <w:tcPr>
                  <w:tcW w:w="119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办公室</w:t>
                  </w:r>
                </w:p>
              </w:tc>
              <w:tc>
                <w:tcPr>
                  <w:tcW w:w="1110" w:type="pct"/>
                  <w:gridSpan w:val="2"/>
                  <w:noWrap/>
                  <w:vAlign w:val="center"/>
                </w:tcPr>
                <w:p>
                  <w:pPr>
                    <w:snapToGrid w:val="0"/>
                    <w:spacing w:line="240" w:lineRule="auto"/>
                    <w:jc w:val="center"/>
                    <w:rPr>
                      <w:bCs/>
                      <w:sz w:val="21"/>
                      <w:szCs w:val="21"/>
                      <w:u w:val="single"/>
                    </w:rPr>
                  </w:pPr>
                  <w:r>
                    <w:rPr>
                      <w:bCs/>
                      <w:sz w:val="21"/>
                      <w:szCs w:val="21"/>
                      <w:u w:val="single"/>
                    </w:rPr>
                    <w:t>建筑面积</w:t>
                  </w:r>
                  <w:r>
                    <w:rPr>
                      <w:rFonts w:hint="eastAsia"/>
                      <w:bCs/>
                      <w:sz w:val="21"/>
                      <w:szCs w:val="21"/>
                      <w:u w:val="single"/>
                    </w:rPr>
                    <w:t>500</w:t>
                  </w:r>
                  <w:r>
                    <w:rPr>
                      <w:bCs/>
                      <w:sz w:val="21"/>
                      <w:szCs w:val="21"/>
                      <w:u w:val="single"/>
                    </w:rPr>
                    <w:t>m</w:t>
                  </w:r>
                  <w:r>
                    <w:rPr>
                      <w:bCs/>
                      <w:sz w:val="21"/>
                      <w:szCs w:val="21"/>
                      <w:u w:val="single"/>
                      <w:vertAlign w:val="superscript"/>
                    </w:rPr>
                    <w:t>2</w:t>
                  </w:r>
                </w:p>
              </w:tc>
              <w:tc>
                <w:tcPr>
                  <w:tcW w:w="2239" w:type="pct"/>
                  <w:noWrap/>
                  <w:vAlign w:val="center"/>
                </w:tcPr>
                <w:p>
                  <w:pPr>
                    <w:snapToGrid w:val="0"/>
                    <w:spacing w:line="240" w:lineRule="auto"/>
                    <w:jc w:val="center"/>
                    <w:rPr>
                      <w:bCs/>
                      <w:sz w:val="21"/>
                      <w:szCs w:val="21"/>
                      <w:u w:val="single"/>
                    </w:rPr>
                  </w:pPr>
                  <w:r>
                    <w:rPr>
                      <w:rFonts w:hint="eastAsia"/>
                      <w:bCs/>
                      <w:sz w:val="21"/>
                      <w:szCs w:val="21"/>
                      <w:u w:val="single"/>
                    </w:rPr>
                    <w:t>利用现有办公楼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pct"/>
                  <w:vMerge w:val="restart"/>
                  <w:noWrap/>
                  <w:vAlign w:val="center"/>
                </w:tcPr>
                <w:p>
                  <w:pPr>
                    <w:snapToGrid w:val="0"/>
                    <w:spacing w:line="240" w:lineRule="auto"/>
                    <w:jc w:val="center"/>
                    <w:rPr>
                      <w:bCs/>
                      <w:sz w:val="21"/>
                      <w:szCs w:val="21"/>
                      <w:u w:val="single"/>
                    </w:rPr>
                  </w:pPr>
                  <w:r>
                    <w:rPr>
                      <w:rFonts w:hint="eastAsia"/>
                      <w:bCs/>
                      <w:sz w:val="21"/>
                      <w:szCs w:val="21"/>
                      <w:u w:val="single"/>
                    </w:rPr>
                    <w:t>公用工程</w:t>
                  </w:r>
                </w:p>
              </w:tc>
              <w:tc>
                <w:tcPr>
                  <w:tcW w:w="1192" w:type="pct"/>
                  <w:gridSpan w:val="2"/>
                  <w:noWrap/>
                  <w:vAlign w:val="center"/>
                </w:tcPr>
                <w:p>
                  <w:pPr>
                    <w:snapToGrid w:val="0"/>
                    <w:spacing w:line="240" w:lineRule="auto"/>
                    <w:jc w:val="center"/>
                    <w:rPr>
                      <w:bCs/>
                      <w:sz w:val="21"/>
                      <w:szCs w:val="21"/>
                      <w:u w:val="single"/>
                    </w:rPr>
                  </w:pPr>
                  <w:r>
                    <w:rPr>
                      <w:rFonts w:hint="eastAsia"/>
                      <w:bCs/>
                      <w:sz w:val="21"/>
                      <w:szCs w:val="21"/>
                      <w:u w:val="single"/>
                    </w:rPr>
                    <w:t>给</w:t>
                  </w:r>
                  <w:r>
                    <w:rPr>
                      <w:bCs/>
                      <w:sz w:val="21"/>
                      <w:szCs w:val="21"/>
                      <w:u w:val="single"/>
                    </w:rPr>
                    <w:t>水</w:t>
                  </w:r>
                </w:p>
              </w:tc>
              <w:tc>
                <w:tcPr>
                  <w:tcW w:w="3350" w:type="pct"/>
                  <w:gridSpan w:val="3"/>
                  <w:noWrap/>
                  <w:vAlign w:val="center"/>
                </w:tcPr>
                <w:p>
                  <w:pPr>
                    <w:pStyle w:val="94"/>
                    <w:widowControl w:val="0"/>
                    <w:adjustRightInd/>
                    <w:spacing w:after="0" w:line="240" w:lineRule="auto"/>
                    <w:ind w:firstLine="0" w:firstLineChars="0"/>
                    <w:jc w:val="center"/>
                    <w:rPr>
                      <w:rFonts w:ascii="宋体" w:hAnsi="宋体" w:cs="宋体"/>
                      <w:sz w:val="21"/>
                      <w:szCs w:val="21"/>
                      <w:u w:val="single"/>
                    </w:rPr>
                  </w:pPr>
                  <w:r>
                    <w:rPr>
                      <w:rFonts w:hint="eastAsia" w:ascii="宋体" w:hAnsi="宋体" w:cs="宋体"/>
                      <w:sz w:val="21"/>
                      <w:szCs w:val="21"/>
                      <w:u w:val="single"/>
                    </w:rPr>
                    <w:t>采用</w:t>
                  </w:r>
                  <w:r>
                    <w:rPr>
                      <w:rFonts w:hint="eastAsia" w:ascii="宋体" w:hAnsi="宋体" w:cs="宋体"/>
                      <w:sz w:val="21"/>
                      <w:szCs w:val="21"/>
                      <w:u w:val="single"/>
                      <w:lang w:eastAsia="zh-CN"/>
                    </w:rPr>
                    <w:t>园区</w:t>
                  </w:r>
                  <w:r>
                    <w:rPr>
                      <w:rFonts w:hint="eastAsia" w:ascii="宋体" w:hAnsi="宋体" w:cs="宋体"/>
                      <w:sz w:val="21"/>
                      <w:szCs w:val="21"/>
                      <w:u w:val="single"/>
                    </w:rPr>
                    <w:t>集中供水，厂区内现有地下水井作为备用水井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snapToGrid w:val="0"/>
                    <w:spacing w:line="240" w:lineRule="auto"/>
                    <w:jc w:val="center"/>
                    <w:rPr>
                      <w:bCs/>
                      <w:sz w:val="21"/>
                      <w:szCs w:val="21"/>
                      <w:u w:val="single"/>
                    </w:rPr>
                  </w:pPr>
                  <w:r>
                    <w:rPr>
                      <w:rFonts w:hint="eastAsia"/>
                      <w:bCs/>
                      <w:sz w:val="21"/>
                      <w:szCs w:val="21"/>
                      <w:u w:val="single"/>
                    </w:rPr>
                    <w:t>排水</w:t>
                  </w:r>
                </w:p>
              </w:tc>
              <w:tc>
                <w:tcPr>
                  <w:tcW w:w="3350" w:type="pct"/>
                  <w:gridSpan w:val="3"/>
                  <w:noWrap/>
                  <w:vAlign w:val="center"/>
                </w:tcPr>
                <w:p>
                  <w:pPr>
                    <w:pStyle w:val="94"/>
                    <w:widowControl w:val="0"/>
                    <w:adjustRightInd/>
                    <w:spacing w:after="0" w:line="240" w:lineRule="auto"/>
                    <w:ind w:firstLine="0" w:firstLineChars="0"/>
                    <w:jc w:val="center"/>
                    <w:rPr>
                      <w:rFonts w:ascii="宋体" w:hAnsi="宋体" w:cs="宋体"/>
                      <w:sz w:val="21"/>
                      <w:szCs w:val="21"/>
                      <w:u w:val="single"/>
                    </w:rPr>
                  </w:pPr>
                  <w:r>
                    <w:rPr>
                      <w:rFonts w:hint="eastAsia" w:ascii="宋体" w:hAnsi="宋体" w:cs="宋体"/>
                      <w:sz w:val="21"/>
                      <w:szCs w:val="21"/>
                      <w:u w:val="single"/>
                    </w:rPr>
                    <w:t>园区污水管网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3" w:hRule="atLeast"/>
              </w:trPr>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snapToGrid w:val="0"/>
                    <w:spacing w:line="240" w:lineRule="auto"/>
                    <w:jc w:val="center"/>
                    <w:rPr>
                      <w:bCs/>
                      <w:sz w:val="21"/>
                      <w:szCs w:val="21"/>
                      <w:u w:val="single"/>
                    </w:rPr>
                  </w:pPr>
                  <w:r>
                    <w:rPr>
                      <w:bCs/>
                      <w:sz w:val="21"/>
                      <w:szCs w:val="21"/>
                      <w:u w:val="single"/>
                    </w:rPr>
                    <w:t>供电</w:t>
                  </w:r>
                </w:p>
              </w:tc>
              <w:tc>
                <w:tcPr>
                  <w:tcW w:w="3350" w:type="pct"/>
                  <w:gridSpan w:val="3"/>
                  <w:noWrap/>
                  <w:vAlign w:val="center"/>
                </w:tcPr>
                <w:p>
                  <w:pPr>
                    <w:pStyle w:val="94"/>
                    <w:widowControl w:val="0"/>
                    <w:adjustRightInd/>
                    <w:spacing w:after="0" w:line="240" w:lineRule="auto"/>
                    <w:ind w:firstLine="0" w:firstLineChars="0"/>
                    <w:jc w:val="center"/>
                    <w:rPr>
                      <w:bCs/>
                      <w:sz w:val="21"/>
                      <w:szCs w:val="21"/>
                      <w:u w:val="single"/>
                    </w:rPr>
                  </w:pPr>
                  <w:r>
                    <w:rPr>
                      <w:rFonts w:hint="eastAsia" w:ascii="宋体" w:hAnsi="宋体" w:cs="宋体"/>
                      <w:sz w:val="21"/>
                      <w:szCs w:val="21"/>
                      <w:u w:val="single"/>
                    </w:rPr>
                    <w:t>由当地电网接入，可以满足本项目使用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pct"/>
                  <w:vMerge w:val="continue"/>
                  <w:noWrap/>
                  <w:vAlign w:val="center"/>
                </w:tcPr>
                <w:p>
                  <w:pPr>
                    <w:snapToGrid w:val="0"/>
                    <w:spacing w:line="240" w:lineRule="auto"/>
                    <w:jc w:val="center"/>
                    <w:rPr>
                      <w:bCs/>
                      <w:sz w:val="21"/>
                      <w:szCs w:val="21"/>
                      <w:u w:val="single"/>
                    </w:rPr>
                  </w:pPr>
                </w:p>
              </w:tc>
              <w:tc>
                <w:tcPr>
                  <w:tcW w:w="1192" w:type="pct"/>
                  <w:gridSpan w:val="2"/>
                  <w:noWrap/>
                  <w:vAlign w:val="center"/>
                </w:tcPr>
                <w:p>
                  <w:pPr>
                    <w:snapToGrid w:val="0"/>
                    <w:spacing w:line="240" w:lineRule="auto"/>
                    <w:jc w:val="center"/>
                    <w:rPr>
                      <w:bCs/>
                      <w:sz w:val="21"/>
                      <w:szCs w:val="21"/>
                      <w:u w:val="single"/>
                    </w:rPr>
                  </w:pPr>
                  <w:r>
                    <w:rPr>
                      <w:bCs/>
                      <w:sz w:val="21"/>
                      <w:szCs w:val="21"/>
                      <w:u w:val="single"/>
                    </w:rPr>
                    <w:t>供热</w:t>
                  </w:r>
                </w:p>
              </w:tc>
              <w:tc>
                <w:tcPr>
                  <w:tcW w:w="3350" w:type="pct"/>
                  <w:gridSpan w:val="3"/>
                  <w:noWrap/>
                  <w:vAlign w:val="center"/>
                </w:tcPr>
                <w:p>
                  <w:pPr>
                    <w:pStyle w:val="94"/>
                    <w:widowControl w:val="0"/>
                    <w:adjustRightInd/>
                    <w:spacing w:after="0" w:line="240" w:lineRule="auto"/>
                    <w:ind w:firstLine="0" w:firstLineChars="0"/>
                    <w:jc w:val="center"/>
                    <w:rPr>
                      <w:sz w:val="21"/>
                      <w:szCs w:val="21"/>
                      <w:u w:val="single"/>
                    </w:rPr>
                  </w:pPr>
                  <w:r>
                    <w:rPr>
                      <w:rFonts w:hint="eastAsia"/>
                      <w:sz w:val="21"/>
                      <w:szCs w:val="21"/>
                      <w:u w:val="single"/>
                    </w:rPr>
                    <w:t>冬季采用电取暖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1" w:hRule="atLeast"/>
              </w:trPr>
              <w:tc>
                <w:tcPr>
                  <w:tcW w:w="456" w:type="pct"/>
                  <w:vMerge w:val="restart"/>
                  <w:noWrap/>
                  <w:vAlign w:val="center"/>
                </w:tcPr>
                <w:p>
                  <w:pPr>
                    <w:snapToGrid w:val="0"/>
                    <w:spacing w:line="240" w:lineRule="auto"/>
                    <w:jc w:val="center"/>
                    <w:rPr>
                      <w:bCs/>
                      <w:sz w:val="21"/>
                      <w:szCs w:val="21"/>
                      <w:u w:val="single"/>
                    </w:rPr>
                  </w:pPr>
                  <w:r>
                    <w:rPr>
                      <w:rFonts w:hint="eastAsia"/>
                      <w:bCs/>
                      <w:sz w:val="21"/>
                      <w:szCs w:val="21"/>
                      <w:u w:val="single"/>
                    </w:rPr>
                    <w:t>环保工程</w:t>
                  </w:r>
                </w:p>
              </w:tc>
              <w:tc>
                <w:tcPr>
                  <w:tcW w:w="464" w:type="pct"/>
                  <w:vMerge w:val="restart"/>
                  <w:noWrap/>
                  <w:vAlign w:val="center"/>
                </w:tcPr>
                <w:p>
                  <w:pPr>
                    <w:snapToGrid w:val="0"/>
                    <w:spacing w:line="240" w:lineRule="auto"/>
                    <w:jc w:val="center"/>
                    <w:rPr>
                      <w:bCs/>
                      <w:sz w:val="21"/>
                      <w:szCs w:val="21"/>
                      <w:u w:val="single"/>
                    </w:rPr>
                  </w:pPr>
                  <w:r>
                    <w:rPr>
                      <w:bCs/>
                      <w:sz w:val="21"/>
                      <w:szCs w:val="21"/>
                      <w:u w:val="single"/>
                    </w:rPr>
                    <w:t>废水治理</w:t>
                  </w:r>
                </w:p>
              </w:tc>
              <w:tc>
                <w:tcPr>
                  <w:tcW w:w="727" w:type="pct"/>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生活污水</w:t>
                  </w:r>
                </w:p>
              </w:tc>
              <w:tc>
                <w:tcPr>
                  <w:tcW w:w="3350" w:type="pct"/>
                  <w:gridSpan w:val="3"/>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排入工业园区污水管网。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727" w:type="pct"/>
                  <w:noWrap/>
                  <w:vAlign w:val="center"/>
                </w:tcPr>
                <w:p>
                  <w:pPr>
                    <w:pStyle w:val="94"/>
                    <w:widowControl w:val="0"/>
                    <w:adjustRightInd/>
                    <w:spacing w:after="0" w:line="240" w:lineRule="auto"/>
                    <w:ind w:firstLine="0" w:firstLineChars="0"/>
                    <w:jc w:val="center"/>
                    <w:rPr>
                      <w:sz w:val="21"/>
                      <w:szCs w:val="21"/>
                      <w:u w:val="single"/>
                    </w:rPr>
                  </w:pPr>
                  <w:r>
                    <w:rPr>
                      <w:bCs/>
                      <w:sz w:val="21"/>
                      <w:szCs w:val="21"/>
                      <w:u w:val="single"/>
                    </w:rPr>
                    <w:t>地面清洗废水</w:t>
                  </w:r>
                </w:p>
              </w:tc>
              <w:tc>
                <w:tcPr>
                  <w:tcW w:w="3350" w:type="pct"/>
                  <w:gridSpan w:val="3"/>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地面清洗废水均排入防渗沉淀池，经隔油</w:t>
                  </w:r>
                  <w:r>
                    <w:rPr>
                      <w:rFonts w:hint="eastAsia"/>
                      <w:bCs/>
                      <w:sz w:val="21"/>
                      <w:szCs w:val="21"/>
                      <w:u w:val="single"/>
                      <w:lang w:val="en-US" w:eastAsia="zh-CN"/>
                    </w:rPr>
                    <w:t>+</w:t>
                  </w:r>
                  <w:r>
                    <w:rPr>
                      <w:rFonts w:hint="eastAsia"/>
                      <w:bCs/>
                      <w:sz w:val="21"/>
                      <w:szCs w:val="21"/>
                      <w:u w:val="single"/>
                    </w:rPr>
                    <w:t>均质</w:t>
                  </w:r>
                  <w:r>
                    <w:rPr>
                      <w:rFonts w:hint="eastAsia"/>
                      <w:bCs/>
                      <w:sz w:val="21"/>
                      <w:szCs w:val="21"/>
                      <w:u w:val="single"/>
                      <w:lang w:val="en-US" w:eastAsia="zh-CN"/>
                    </w:rPr>
                    <w:t>+</w:t>
                  </w:r>
                  <w:r>
                    <w:rPr>
                      <w:rFonts w:hint="eastAsia"/>
                      <w:bCs/>
                      <w:sz w:val="21"/>
                      <w:szCs w:val="21"/>
                      <w:u w:val="single"/>
                    </w:rPr>
                    <w:t>絮凝沉淀</w:t>
                  </w:r>
                  <w:r>
                    <w:rPr>
                      <w:rFonts w:hint="eastAsia"/>
                      <w:bCs/>
                      <w:sz w:val="21"/>
                      <w:szCs w:val="21"/>
                      <w:u w:val="single"/>
                      <w:lang w:val="en-US" w:eastAsia="zh-CN"/>
                    </w:rPr>
                    <w:t>+</w:t>
                  </w:r>
                  <w:r>
                    <w:rPr>
                      <w:rFonts w:hint="eastAsia"/>
                      <w:bCs/>
                      <w:sz w:val="21"/>
                      <w:szCs w:val="21"/>
                      <w:u w:val="single"/>
                    </w:rPr>
                    <w:t>气浮处理后循环使用不外排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7"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727" w:type="pct"/>
                  <w:noWrap/>
                  <w:vAlign w:val="center"/>
                </w:tcPr>
                <w:p>
                  <w:pPr>
                    <w:pStyle w:val="94"/>
                    <w:widowControl w:val="0"/>
                    <w:adjustRightInd/>
                    <w:spacing w:after="0" w:line="240" w:lineRule="auto"/>
                    <w:ind w:firstLine="0" w:firstLineChars="0"/>
                    <w:jc w:val="center"/>
                    <w:rPr>
                      <w:bCs/>
                      <w:sz w:val="21"/>
                      <w:szCs w:val="21"/>
                      <w:u w:val="single"/>
                    </w:rPr>
                  </w:pPr>
                  <w:r>
                    <w:rPr>
                      <w:bCs/>
                      <w:sz w:val="21"/>
                      <w:szCs w:val="21"/>
                      <w:u w:val="single"/>
                    </w:rPr>
                    <w:t>雨水</w:t>
                  </w:r>
                </w:p>
              </w:tc>
              <w:tc>
                <w:tcPr>
                  <w:tcW w:w="3350" w:type="pct"/>
                  <w:gridSpan w:val="3"/>
                  <w:noWrap/>
                  <w:vAlign w:val="center"/>
                </w:tcPr>
                <w:p>
                  <w:pPr>
                    <w:pStyle w:val="94"/>
                    <w:widowControl w:val="0"/>
                    <w:adjustRightInd/>
                    <w:spacing w:after="0" w:line="240" w:lineRule="auto"/>
                    <w:ind w:firstLine="0" w:firstLineChars="0"/>
                    <w:jc w:val="center"/>
                    <w:rPr>
                      <w:bCs/>
                      <w:sz w:val="21"/>
                      <w:szCs w:val="21"/>
                      <w:u w:val="single"/>
                    </w:rPr>
                  </w:pPr>
                  <w:r>
                    <w:rPr>
                      <w:bCs/>
                      <w:sz w:val="21"/>
                      <w:szCs w:val="21"/>
                      <w:u w:val="single"/>
                    </w:rPr>
                    <w:t>设计雨水收集范围主要为道路和报废农机停车场</w:t>
                  </w:r>
                  <w:r>
                    <w:rPr>
                      <w:rFonts w:hint="eastAsia"/>
                      <w:bCs/>
                      <w:sz w:val="21"/>
                      <w:szCs w:val="21"/>
                      <w:u w:val="single"/>
                    </w:rPr>
                    <w:t>，</w:t>
                  </w:r>
                  <w:r>
                    <w:rPr>
                      <w:bCs/>
                      <w:sz w:val="21"/>
                      <w:szCs w:val="21"/>
                      <w:u w:val="single"/>
                    </w:rPr>
                    <w:t>共约</w:t>
                  </w:r>
                  <w:r>
                    <w:rPr>
                      <w:rFonts w:hint="eastAsia"/>
                      <w:bCs/>
                      <w:sz w:val="21"/>
                      <w:szCs w:val="21"/>
                      <w:u w:val="single"/>
                    </w:rPr>
                    <w:t>3000m</w:t>
                  </w:r>
                  <w:r>
                    <w:rPr>
                      <w:rFonts w:hint="eastAsia"/>
                      <w:bCs/>
                      <w:sz w:val="21"/>
                      <w:szCs w:val="21"/>
                      <w:u w:val="single"/>
                      <w:vertAlign w:val="superscript"/>
                    </w:rPr>
                    <w:t>2</w:t>
                  </w:r>
                  <w:r>
                    <w:rPr>
                      <w:rFonts w:hint="eastAsia"/>
                      <w:bCs/>
                      <w:sz w:val="21"/>
                      <w:szCs w:val="21"/>
                      <w:u w:val="single"/>
                    </w:rPr>
                    <w:t>，初期雨水经收集后排入防渗沉淀池，经隔油</w:t>
                  </w:r>
                  <w:r>
                    <w:rPr>
                      <w:rFonts w:hint="eastAsia"/>
                      <w:bCs/>
                      <w:sz w:val="21"/>
                      <w:szCs w:val="21"/>
                      <w:u w:val="single"/>
                      <w:lang w:val="en-US" w:eastAsia="zh-CN"/>
                    </w:rPr>
                    <w:t>+</w:t>
                  </w:r>
                  <w:r>
                    <w:rPr>
                      <w:rFonts w:hint="eastAsia"/>
                      <w:bCs/>
                      <w:sz w:val="21"/>
                      <w:szCs w:val="21"/>
                      <w:u w:val="single"/>
                    </w:rPr>
                    <w:t>均质</w:t>
                  </w:r>
                  <w:r>
                    <w:rPr>
                      <w:rFonts w:hint="eastAsia"/>
                      <w:bCs/>
                      <w:sz w:val="21"/>
                      <w:szCs w:val="21"/>
                      <w:u w:val="single"/>
                      <w:lang w:val="en-US" w:eastAsia="zh-CN"/>
                    </w:rPr>
                    <w:t>+</w:t>
                  </w:r>
                  <w:r>
                    <w:rPr>
                      <w:rFonts w:hint="eastAsia"/>
                      <w:bCs/>
                      <w:sz w:val="21"/>
                      <w:szCs w:val="21"/>
                      <w:u w:val="single"/>
                    </w:rPr>
                    <w:t>絮凝沉淀</w:t>
                  </w:r>
                  <w:r>
                    <w:rPr>
                      <w:rFonts w:hint="eastAsia"/>
                      <w:bCs/>
                      <w:sz w:val="21"/>
                      <w:szCs w:val="21"/>
                      <w:u w:val="single"/>
                      <w:lang w:val="en-US" w:eastAsia="zh-CN"/>
                    </w:rPr>
                    <w:t>+</w:t>
                  </w:r>
                  <w:r>
                    <w:rPr>
                      <w:rFonts w:hint="eastAsia"/>
                      <w:bCs/>
                      <w:sz w:val="21"/>
                      <w:szCs w:val="21"/>
                      <w:u w:val="single"/>
                    </w:rPr>
                    <w:t>气浮处理后循环使用不外排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52"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restart"/>
                  <w:noWrap/>
                  <w:vAlign w:val="center"/>
                </w:tcPr>
                <w:p>
                  <w:pPr>
                    <w:snapToGrid w:val="0"/>
                    <w:spacing w:line="240" w:lineRule="auto"/>
                    <w:jc w:val="center"/>
                    <w:rPr>
                      <w:bCs/>
                      <w:sz w:val="21"/>
                      <w:szCs w:val="21"/>
                      <w:u w:val="single"/>
                    </w:rPr>
                  </w:pPr>
                  <w:r>
                    <w:rPr>
                      <w:bCs/>
                      <w:sz w:val="21"/>
                      <w:szCs w:val="21"/>
                      <w:u w:val="single"/>
                    </w:rPr>
                    <w:t>废气治理</w:t>
                  </w:r>
                </w:p>
              </w:tc>
              <w:tc>
                <w:tcPr>
                  <w:tcW w:w="110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拆解预处理废气</w:t>
                  </w:r>
                </w:p>
              </w:tc>
              <w:tc>
                <w:tcPr>
                  <w:tcW w:w="2975" w:type="pct"/>
                  <w:gridSpan w:val="2"/>
                  <w:noWrap/>
                  <w:vAlign w:val="center"/>
                </w:tcPr>
                <w:p>
                  <w:pPr>
                    <w:pStyle w:val="94"/>
                    <w:widowControl w:val="0"/>
                    <w:adjustRightInd/>
                    <w:spacing w:after="0" w:line="240" w:lineRule="auto"/>
                    <w:ind w:firstLine="0" w:firstLineChars="0"/>
                    <w:jc w:val="center"/>
                    <w:rPr>
                      <w:rFonts w:hint="eastAsia" w:eastAsiaTheme="minorEastAsia"/>
                      <w:bCs/>
                      <w:color w:val="auto"/>
                      <w:sz w:val="21"/>
                      <w:szCs w:val="21"/>
                      <w:u w:val="single"/>
                      <w:lang w:val="en-US" w:eastAsia="zh-CN"/>
                    </w:rPr>
                  </w:pPr>
                  <w:r>
                    <w:rPr>
                      <w:rFonts w:hint="eastAsia"/>
                      <w:bCs/>
                      <w:color w:val="auto"/>
                      <w:sz w:val="21"/>
                      <w:szCs w:val="21"/>
                      <w:u w:val="single"/>
                    </w:rPr>
                    <w:t>拆解预处理工序产生的废气采用</w:t>
                  </w:r>
                  <w:r>
                    <w:rPr>
                      <w:rFonts w:hint="eastAsia"/>
                      <w:bCs/>
                      <w:color w:val="auto"/>
                      <w:sz w:val="21"/>
                      <w:szCs w:val="21"/>
                      <w:u w:val="single"/>
                      <w:lang w:eastAsia="zh-CN"/>
                    </w:rPr>
                    <w:t>集气罩</w:t>
                  </w:r>
                  <w:r>
                    <w:rPr>
                      <w:rFonts w:hint="eastAsia"/>
                      <w:bCs/>
                      <w:color w:val="auto"/>
                      <w:sz w:val="21"/>
                      <w:szCs w:val="21"/>
                      <w:u w:val="single"/>
                    </w:rPr>
                    <w:t>+活性炭吸附装置+15m高排气筒</w:t>
                  </w:r>
                  <w:r>
                    <w:rPr>
                      <w:rFonts w:hint="eastAsia"/>
                      <w:bCs/>
                      <w:color w:val="auto"/>
                      <w:sz w:val="21"/>
                      <w:szCs w:val="21"/>
                      <w:u w:val="single"/>
                      <w:lang w:eastAsia="zh-CN"/>
                    </w:rPr>
                    <w:t>排放</w:t>
                  </w:r>
                  <w:r>
                    <w:rPr>
                      <w:rFonts w:hint="eastAsia"/>
                      <w:bCs/>
                      <w:color w:val="auto"/>
                      <w:sz w:val="21"/>
                      <w:szCs w:val="21"/>
                      <w:u w:val="single"/>
                      <w:lang w:val="en-US" w:eastAsia="zh-CN"/>
                    </w:rPr>
                    <w:t>DA001</w:t>
                  </w:r>
                  <w:r>
                    <w:rPr>
                      <w:rFonts w:hint="default"/>
                      <w:bCs/>
                      <w:color w:val="auto"/>
                      <w:sz w:val="21"/>
                      <w:szCs w:val="21"/>
                      <w:u w:val="single"/>
                      <w:lang w:val="en-US" w:eastAsia="zh-CN"/>
                    </w:rPr>
                    <w:t>(</w:t>
                  </w:r>
                  <w:r>
                    <w:rPr>
                      <w:rFonts w:hint="eastAsia"/>
                      <w:bCs/>
                      <w:color w:val="auto"/>
                      <w:sz w:val="21"/>
                      <w:szCs w:val="21"/>
                      <w:u w:val="single"/>
                      <w:lang w:val="en-US" w:eastAsia="zh-CN"/>
                    </w:rPr>
                    <w:t>与废机油存储间共用一根排气筒</w:t>
                  </w:r>
                  <w:r>
                    <w:rPr>
                      <w:rFonts w:hint="default"/>
                      <w:bCs/>
                      <w:color w:val="auto"/>
                      <w:sz w:val="21"/>
                      <w:szCs w:val="21"/>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74"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110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废机油收储车间</w:t>
                  </w:r>
                  <w:r>
                    <w:rPr>
                      <w:bCs/>
                      <w:spacing w:val="-6"/>
                      <w:sz w:val="21"/>
                      <w:szCs w:val="21"/>
                      <w:u w:val="single"/>
                    </w:rPr>
                    <w:t>废气</w:t>
                  </w:r>
                  <w:r>
                    <w:rPr>
                      <w:b/>
                      <w:spacing w:val="-6"/>
                      <w:sz w:val="21"/>
                      <w:szCs w:val="21"/>
                      <w:u w:val="single"/>
                    </w:rPr>
                    <w:t>(</w:t>
                  </w:r>
                  <w:r>
                    <w:rPr>
                      <w:bCs/>
                      <w:spacing w:val="-6"/>
                      <w:sz w:val="21"/>
                      <w:szCs w:val="21"/>
                      <w:u w:val="single"/>
                    </w:rPr>
                    <w:t>又称危废间)</w:t>
                  </w:r>
                </w:p>
              </w:tc>
              <w:tc>
                <w:tcPr>
                  <w:tcW w:w="2975" w:type="pct"/>
                  <w:gridSpan w:val="2"/>
                  <w:noWrap/>
                  <w:vAlign w:val="center"/>
                </w:tcPr>
                <w:p>
                  <w:pPr>
                    <w:pStyle w:val="94"/>
                    <w:widowControl w:val="0"/>
                    <w:adjustRightInd/>
                    <w:spacing w:after="0" w:line="240" w:lineRule="auto"/>
                    <w:ind w:firstLine="0" w:firstLineChars="0"/>
                    <w:jc w:val="center"/>
                    <w:rPr>
                      <w:rFonts w:hint="default" w:eastAsiaTheme="minorEastAsia"/>
                      <w:bCs/>
                      <w:color w:val="auto"/>
                      <w:sz w:val="21"/>
                      <w:szCs w:val="21"/>
                      <w:u w:val="single"/>
                      <w:lang w:val="en-US" w:eastAsia="zh-CN"/>
                    </w:rPr>
                  </w:pPr>
                  <w:r>
                    <w:rPr>
                      <w:rFonts w:hint="eastAsia"/>
                      <w:bCs/>
                      <w:color w:val="auto"/>
                      <w:sz w:val="21"/>
                      <w:szCs w:val="21"/>
                      <w:u w:val="single"/>
                      <w:lang w:val="en-US" w:eastAsia="zh-CN"/>
                    </w:rPr>
                    <w:t>废机油储存区废气</w:t>
                  </w:r>
                  <w:r>
                    <w:rPr>
                      <w:rFonts w:hint="eastAsia"/>
                      <w:bCs/>
                      <w:color w:val="auto"/>
                      <w:sz w:val="21"/>
                      <w:szCs w:val="21"/>
                      <w:u w:val="single"/>
                    </w:rPr>
                    <w:t>采用集气</w:t>
                  </w:r>
                  <w:r>
                    <w:rPr>
                      <w:rFonts w:hint="eastAsia"/>
                      <w:bCs/>
                      <w:color w:val="auto"/>
                      <w:sz w:val="21"/>
                      <w:szCs w:val="21"/>
                      <w:u w:val="single"/>
                      <w:lang w:eastAsia="zh-CN"/>
                    </w:rPr>
                    <w:t>罩</w:t>
                  </w:r>
                  <w:r>
                    <w:rPr>
                      <w:rFonts w:hint="eastAsia"/>
                      <w:bCs/>
                      <w:color w:val="auto"/>
                      <w:sz w:val="21"/>
                      <w:szCs w:val="21"/>
                      <w:u w:val="single"/>
                    </w:rPr>
                    <w:t>+活性炭吸附装置+15m高排气筒</w:t>
                  </w:r>
                  <w:r>
                    <w:rPr>
                      <w:rFonts w:hint="eastAsia"/>
                      <w:bCs/>
                      <w:color w:val="auto"/>
                      <w:sz w:val="21"/>
                      <w:szCs w:val="21"/>
                      <w:u w:val="single"/>
                      <w:lang w:eastAsia="zh-CN"/>
                    </w:rPr>
                    <w:t>排放</w:t>
                  </w:r>
                  <w:r>
                    <w:rPr>
                      <w:rFonts w:hint="eastAsia"/>
                      <w:bCs/>
                      <w:color w:val="auto"/>
                      <w:sz w:val="21"/>
                      <w:szCs w:val="21"/>
                      <w:u w:val="single"/>
                      <w:lang w:val="en-US" w:eastAsia="zh-CN"/>
                    </w:rPr>
                    <w:t>DA001（与拆解车间预处理废气共用一根排气筒）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9"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110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切割</w:t>
                  </w:r>
                  <w:r>
                    <w:rPr>
                      <w:bCs/>
                      <w:sz w:val="21"/>
                      <w:szCs w:val="21"/>
                      <w:u w:val="single"/>
                    </w:rPr>
                    <w:t>粉尘</w:t>
                  </w:r>
                </w:p>
              </w:tc>
              <w:tc>
                <w:tcPr>
                  <w:tcW w:w="2975" w:type="pct"/>
                  <w:gridSpan w:val="2"/>
                  <w:vMerge w:val="restart"/>
                  <w:noWrap/>
                  <w:vAlign w:val="center"/>
                </w:tcPr>
                <w:p>
                  <w:pPr>
                    <w:pStyle w:val="94"/>
                    <w:widowControl w:val="0"/>
                    <w:adjustRightInd/>
                    <w:spacing w:after="0" w:line="240" w:lineRule="auto"/>
                    <w:ind w:firstLine="0" w:firstLineChars="0"/>
                    <w:jc w:val="center"/>
                    <w:rPr>
                      <w:rFonts w:hint="eastAsia"/>
                      <w:bCs/>
                      <w:color w:val="auto"/>
                      <w:sz w:val="21"/>
                      <w:szCs w:val="21"/>
                      <w:u w:val="single"/>
                    </w:rPr>
                  </w:pPr>
                  <w:r>
                    <w:rPr>
                      <w:rFonts w:hint="eastAsia"/>
                      <w:bCs/>
                      <w:color w:val="auto"/>
                      <w:sz w:val="21"/>
                      <w:szCs w:val="21"/>
                      <w:u w:val="single"/>
                      <w:lang w:eastAsia="zh-CN"/>
                    </w:rPr>
                    <w:t>粉尘</w:t>
                  </w:r>
                  <w:r>
                    <w:rPr>
                      <w:rFonts w:hint="eastAsia"/>
                      <w:bCs/>
                      <w:color w:val="auto"/>
                      <w:sz w:val="21"/>
                      <w:szCs w:val="21"/>
                      <w:u w:val="single"/>
                    </w:rPr>
                    <w:t>经集气罩收集后</w:t>
                  </w:r>
                  <w:r>
                    <w:rPr>
                      <w:rFonts w:hint="eastAsia"/>
                      <w:bCs/>
                      <w:color w:val="auto"/>
                      <w:sz w:val="21"/>
                      <w:szCs w:val="21"/>
                      <w:u w:val="single"/>
                      <w:lang w:eastAsia="zh-CN"/>
                    </w:rPr>
                    <w:t>通过布</w:t>
                  </w:r>
                  <w:r>
                    <w:rPr>
                      <w:rFonts w:hint="eastAsia"/>
                      <w:bCs/>
                      <w:color w:val="auto"/>
                      <w:sz w:val="21"/>
                      <w:szCs w:val="21"/>
                      <w:u w:val="single"/>
                    </w:rPr>
                    <w:t>袋除尘器处理，</w:t>
                  </w:r>
                </w:p>
                <w:p>
                  <w:pPr>
                    <w:pStyle w:val="94"/>
                    <w:widowControl w:val="0"/>
                    <w:adjustRightInd/>
                    <w:spacing w:after="0" w:line="240" w:lineRule="auto"/>
                    <w:ind w:firstLine="0" w:firstLineChars="0"/>
                    <w:jc w:val="center"/>
                    <w:rPr>
                      <w:bCs/>
                      <w:color w:val="auto"/>
                      <w:sz w:val="21"/>
                      <w:szCs w:val="21"/>
                      <w:u w:val="single"/>
                    </w:rPr>
                  </w:pPr>
                  <w:r>
                    <w:rPr>
                      <w:rFonts w:hint="eastAsia"/>
                      <w:bCs/>
                      <w:color w:val="auto"/>
                      <w:sz w:val="21"/>
                      <w:szCs w:val="21"/>
                      <w:u w:val="single"/>
                    </w:rPr>
                    <w:t>最后经15m高排气筒</w:t>
                  </w:r>
                  <w:r>
                    <w:rPr>
                      <w:rFonts w:hint="eastAsia"/>
                      <w:bCs/>
                      <w:color w:val="auto"/>
                      <w:sz w:val="21"/>
                      <w:szCs w:val="21"/>
                      <w:u w:val="single"/>
                      <w:lang w:eastAsia="zh-CN"/>
                    </w:rPr>
                    <w:t>排放</w:t>
                  </w:r>
                  <w:r>
                    <w:rPr>
                      <w:rFonts w:hint="eastAsia"/>
                      <w:bCs/>
                      <w:color w:val="auto"/>
                      <w:sz w:val="21"/>
                      <w:szCs w:val="21"/>
                      <w:u w:val="single"/>
                      <w:lang w:val="en-US" w:eastAsia="zh-CN"/>
                    </w:rPr>
                    <w:t>DA002</w:t>
                  </w:r>
                  <w:r>
                    <w:rPr>
                      <w:rFonts w:hint="eastAsia"/>
                      <w:bCs/>
                      <w:color w:val="auto"/>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4"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1102" w:type="pct"/>
                  <w:gridSpan w:val="2"/>
                  <w:noWrap/>
                  <w:vAlign w:val="center"/>
                </w:tcPr>
                <w:p>
                  <w:pPr>
                    <w:pStyle w:val="94"/>
                    <w:widowControl w:val="0"/>
                    <w:adjustRightInd/>
                    <w:spacing w:after="0" w:line="240" w:lineRule="auto"/>
                    <w:ind w:firstLine="0" w:firstLineChars="0"/>
                    <w:jc w:val="center"/>
                    <w:rPr>
                      <w:bCs/>
                      <w:sz w:val="21"/>
                      <w:szCs w:val="21"/>
                      <w:u w:val="single"/>
                    </w:rPr>
                  </w:pPr>
                  <w:r>
                    <w:rPr>
                      <w:rFonts w:hint="eastAsia"/>
                      <w:bCs/>
                      <w:sz w:val="21"/>
                      <w:szCs w:val="21"/>
                      <w:u w:val="single"/>
                    </w:rPr>
                    <w:t>压块打包粉尘</w:t>
                  </w:r>
                </w:p>
              </w:tc>
              <w:tc>
                <w:tcPr>
                  <w:tcW w:w="2975" w:type="pct"/>
                  <w:gridSpan w:val="2"/>
                  <w:vMerge w:val="continue"/>
                  <w:noWrap/>
                  <w:vAlign w:val="center"/>
                </w:tcPr>
                <w:p>
                  <w:pPr>
                    <w:pStyle w:val="94"/>
                    <w:widowControl w:val="0"/>
                    <w:adjustRightInd/>
                    <w:spacing w:after="0" w:line="240" w:lineRule="auto"/>
                    <w:ind w:firstLine="0" w:firstLineChars="0"/>
                    <w:jc w:val="center"/>
                    <w:rPr>
                      <w:bCs/>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56" w:type="pct"/>
                  <w:vMerge w:val="continue"/>
                  <w:noWrap/>
                  <w:vAlign w:val="center"/>
                </w:tcPr>
                <w:p>
                  <w:pPr>
                    <w:snapToGrid w:val="0"/>
                    <w:spacing w:line="240" w:lineRule="auto"/>
                    <w:jc w:val="center"/>
                    <w:rPr>
                      <w:bCs/>
                      <w:sz w:val="21"/>
                      <w:szCs w:val="21"/>
                      <w:u w:val="single"/>
                    </w:rPr>
                  </w:pPr>
                </w:p>
              </w:tc>
              <w:tc>
                <w:tcPr>
                  <w:tcW w:w="464" w:type="pct"/>
                  <w:noWrap/>
                  <w:vAlign w:val="center"/>
                </w:tcPr>
                <w:p>
                  <w:pPr>
                    <w:snapToGrid w:val="0"/>
                    <w:spacing w:line="240" w:lineRule="auto"/>
                    <w:jc w:val="center"/>
                    <w:rPr>
                      <w:bCs/>
                      <w:sz w:val="21"/>
                      <w:szCs w:val="21"/>
                      <w:u w:val="single"/>
                    </w:rPr>
                  </w:pPr>
                  <w:r>
                    <w:rPr>
                      <w:bCs/>
                      <w:sz w:val="21"/>
                      <w:szCs w:val="21"/>
                      <w:u w:val="single"/>
                    </w:rPr>
                    <w:t>噪声</w:t>
                  </w:r>
                </w:p>
              </w:tc>
              <w:tc>
                <w:tcPr>
                  <w:tcW w:w="4078" w:type="pct"/>
                  <w:gridSpan w:val="4"/>
                  <w:noWrap/>
                  <w:vAlign w:val="center"/>
                </w:tcPr>
                <w:p>
                  <w:pPr>
                    <w:pStyle w:val="94"/>
                    <w:widowControl w:val="0"/>
                    <w:adjustRightInd/>
                    <w:spacing w:after="0" w:line="240" w:lineRule="auto"/>
                    <w:ind w:firstLine="0" w:firstLineChars="0"/>
                    <w:jc w:val="center"/>
                    <w:rPr>
                      <w:bCs/>
                      <w:sz w:val="21"/>
                      <w:szCs w:val="21"/>
                      <w:u w:val="single"/>
                    </w:rPr>
                  </w:pPr>
                  <w:r>
                    <w:rPr>
                      <w:bCs/>
                      <w:sz w:val="21"/>
                      <w:szCs w:val="21"/>
                      <w:u w:val="single"/>
                    </w:rPr>
                    <w:t>采用低噪声设备、采取安装基础减振</w:t>
                  </w:r>
                  <w:r>
                    <w:rPr>
                      <w:rFonts w:hint="eastAsia"/>
                      <w:bCs/>
                      <w:sz w:val="21"/>
                      <w:szCs w:val="21"/>
                      <w:u w:val="single"/>
                    </w:rPr>
                    <w:t>、车间建筑隔</w:t>
                  </w:r>
                  <w:r>
                    <w:rPr>
                      <w:bCs/>
                      <w:sz w:val="21"/>
                      <w:szCs w:val="21"/>
                      <w:u w:val="single"/>
                    </w:rPr>
                    <w:t>声等降噪措施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6" w:type="pct"/>
                  <w:vMerge w:val="continue"/>
                  <w:noWrap/>
                  <w:vAlign w:val="center"/>
                </w:tcPr>
                <w:p>
                  <w:pPr>
                    <w:snapToGrid w:val="0"/>
                    <w:spacing w:line="240" w:lineRule="auto"/>
                    <w:jc w:val="center"/>
                    <w:rPr>
                      <w:bCs/>
                      <w:sz w:val="21"/>
                      <w:szCs w:val="21"/>
                      <w:u w:val="single"/>
                    </w:rPr>
                  </w:pPr>
                </w:p>
              </w:tc>
              <w:tc>
                <w:tcPr>
                  <w:tcW w:w="464" w:type="pct"/>
                  <w:noWrap/>
                  <w:vAlign w:val="center"/>
                </w:tcPr>
                <w:p>
                  <w:pPr>
                    <w:snapToGrid w:val="0"/>
                    <w:spacing w:line="240" w:lineRule="auto"/>
                    <w:jc w:val="center"/>
                    <w:rPr>
                      <w:bCs/>
                      <w:sz w:val="21"/>
                      <w:szCs w:val="21"/>
                      <w:u w:val="single"/>
                    </w:rPr>
                  </w:pPr>
                  <w:r>
                    <w:rPr>
                      <w:bCs/>
                      <w:sz w:val="21"/>
                      <w:szCs w:val="21"/>
                      <w:u w:val="single"/>
                    </w:rPr>
                    <w:t>防渗措施</w:t>
                  </w:r>
                </w:p>
              </w:tc>
              <w:tc>
                <w:tcPr>
                  <w:tcW w:w="4078" w:type="pct"/>
                  <w:gridSpan w:val="4"/>
                  <w:noWrap/>
                  <w:vAlign w:val="center"/>
                </w:tcPr>
                <w:p>
                  <w:pPr>
                    <w:pStyle w:val="94"/>
                    <w:widowControl w:val="0"/>
                    <w:adjustRightInd/>
                    <w:spacing w:after="0" w:line="240" w:lineRule="auto"/>
                    <w:ind w:firstLine="0" w:firstLineChars="0"/>
                    <w:rPr>
                      <w:sz w:val="21"/>
                      <w:szCs w:val="21"/>
                      <w:u w:val="single"/>
                    </w:rPr>
                  </w:pPr>
                  <w:r>
                    <w:rPr>
                      <w:sz w:val="21"/>
                      <w:szCs w:val="21"/>
                      <w:u w:val="single"/>
                    </w:rPr>
                    <w:t>厂区贮存场地和道路地面</w:t>
                  </w:r>
                  <w:r>
                    <w:rPr>
                      <w:rFonts w:hint="eastAsia"/>
                      <w:sz w:val="21"/>
                      <w:szCs w:val="21"/>
                      <w:u w:val="single"/>
                      <w:lang w:eastAsia="zh-CN"/>
                    </w:rPr>
                    <w:t>应</w:t>
                  </w:r>
                  <w:r>
                    <w:rPr>
                      <w:sz w:val="21"/>
                      <w:szCs w:val="21"/>
                      <w:u w:val="single"/>
                    </w:rPr>
                    <w:t>全部硬化</w:t>
                  </w:r>
                  <w:r>
                    <w:rPr>
                      <w:rFonts w:hint="eastAsia"/>
                      <w:sz w:val="21"/>
                      <w:szCs w:val="21"/>
                      <w:u w:val="single"/>
                    </w:rPr>
                    <w:t>；重点防渗区防渗技术要求为等效粘土防渗层Mb≥6.0m，K≤1×10</w:t>
                  </w:r>
                  <w:r>
                    <w:rPr>
                      <w:rFonts w:hint="eastAsia"/>
                      <w:sz w:val="21"/>
                      <w:szCs w:val="21"/>
                      <w:u w:val="single"/>
                      <w:vertAlign w:val="superscript"/>
                    </w:rPr>
                    <w:t>-7</w:t>
                  </w:r>
                  <w:r>
                    <w:rPr>
                      <w:rFonts w:hint="eastAsia"/>
                      <w:sz w:val="21"/>
                      <w:szCs w:val="21"/>
                      <w:u w:val="single"/>
                    </w:rPr>
                    <w:t>cm/s，或参照GB18598执行；一般防渗</w:t>
                  </w:r>
                  <w:r>
                    <w:rPr>
                      <w:rFonts w:hint="eastAsia"/>
                      <w:sz w:val="21"/>
                      <w:szCs w:val="21"/>
                      <w:u w:val="single"/>
                      <w:lang w:eastAsia="zh-CN"/>
                    </w:rPr>
                    <w:t>区</w:t>
                  </w:r>
                  <w:r>
                    <w:rPr>
                      <w:rFonts w:hint="eastAsia"/>
                      <w:sz w:val="21"/>
                      <w:szCs w:val="21"/>
                      <w:u w:val="single"/>
                    </w:rPr>
                    <w:t>防渗技术要求为等效粘土防渗</w:t>
                  </w:r>
                  <w:r>
                    <w:rPr>
                      <w:rFonts w:hint="default" w:asciiTheme="minorAscii" w:hAnsiTheme="minorAscii" w:eastAsiaTheme="minorEastAsia"/>
                      <w:spacing w:val="-6"/>
                      <w:sz w:val="21"/>
                      <w:szCs w:val="21"/>
                      <w:u w:val="single"/>
                    </w:rPr>
                    <w:t>层</w:t>
                  </w:r>
                  <w:r>
                    <w:rPr>
                      <w:rFonts w:hint="default" w:asciiTheme="minorAscii" w:hAnsiTheme="minorAscii" w:eastAsiaTheme="minorEastAsia"/>
                      <w:spacing w:val="0"/>
                      <w:sz w:val="21"/>
                      <w:szCs w:val="21"/>
                      <w:u w:val="single"/>
                    </w:rPr>
                    <w:t>Mb≥1.5m，K≤1×10</w:t>
                  </w:r>
                  <w:r>
                    <w:rPr>
                      <w:rFonts w:hint="default" w:asciiTheme="minorAscii" w:hAnsiTheme="minorAscii" w:eastAsiaTheme="minorEastAsia"/>
                      <w:spacing w:val="0"/>
                      <w:sz w:val="21"/>
                      <w:szCs w:val="21"/>
                      <w:u w:val="single"/>
                      <w:vertAlign w:val="superscript"/>
                    </w:rPr>
                    <w:t>-7</w:t>
                  </w:r>
                  <w:r>
                    <w:rPr>
                      <w:rFonts w:hint="default" w:asciiTheme="minorAscii" w:hAnsiTheme="minorAscii" w:eastAsiaTheme="minorEastAsia"/>
                      <w:spacing w:val="0"/>
                      <w:sz w:val="21"/>
                      <w:szCs w:val="21"/>
                      <w:u w:val="single"/>
                    </w:rPr>
                    <w:t>cm/s，或参照GB16889执行；简单防渗区防渗技术要求为一般地面硬化；其余为绿化区域</w:t>
                  </w:r>
                  <w:r>
                    <w:rPr>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46"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restart"/>
                  <w:noWrap/>
                  <w:vAlign w:val="center"/>
                </w:tcPr>
                <w:p>
                  <w:pPr>
                    <w:snapToGrid w:val="0"/>
                    <w:spacing w:line="240" w:lineRule="auto"/>
                    <w:jc w:val="center"/>
                    <w:rPr>
                      <w:bCs/>
                      <w:sz w:val="21"/>
                      <w:szCs w:val="21"/>
                      <w:u w:val="single"/>
                    </w:rPr>
                  </w:pPr>
                  <w:r>
                    <w:rPr>
                      <w:rFonts w:hint="eastAsia"/>
                      <w:bCs/>
                      <w:sz w:val="21"/>
                      <w:szCs w:val="21"/>
                      <w:u w:val="single"/>
                    </w:rPr>
                    <w:t>固体废物</w:t>
                  </w:r>
                </w:p>
              </w:tc>
              <w:tc>
                <w:tcPr>
                  <w:tcW w:w="4078" w:type="pct"/>
                  <w:gridSpan w:val="4"/>
                  <w:noWrap/>
                  <w:vAlign w:val="center"/>
                </w:tcPr>
                <w:p>
                  <w:pPr>
                    <w:pStyle w:val="94"/>
                    <w:widowControl w:val="0"/>
                    <w:adjustRightInd/>
                    <w:spacing w:after="0" w:line="240" w:lineRule="auto"/>
                    <w:ind w:firstLine="0" w:firstLineChars="0"/>
                    <w:rPr>
                      <w:bCs/>
                      <w:sz w:val="21"/>
                      <w:szCs w:val="21"/>
                      <w:u w:val="single"/>
                    </w:rPr>
                  </w:pPr>
                  <w:r>
                    <w:rPr>
                      <w:bCs/>
                      <w:sz w:val="21"/>
                      <w:szCs w:val="21"/>
                      <w:u w:val="single"/>
                    </w:rPr>
                    <w:t>生活垃圾</w:t>
                  </w:r>
                  <w:r>
                    <w:rPr>
                      <w:rFonts w:hint="eastAsia"/>
                      <w:bCs/>
                      <w:sz w:val="21"/>
                      <w:szCs w:val="21"/>
                      <w:u w:val="single"/>
                      <w:lang w:eastAsia="zh-CN"/>
                    </w:rPr>
                    <w:t>、</w:t>
                  </w:r>
                  <w:r>
                    <w:rPr>
                      <w:bCs/>
                      <w:sz w:val="21"/>
                      <w:szCs w:val="21"/>
                      <w:u w:val="single"/>
                    </w:rPr>
                    <w:t>含油抹布</w:t>
                  </w:r>
                  <w:r>
                    <w:rPr>
                      <w:rFonts w:hint="eastAsia"/>
                      <w:bCs/>
                      <w:sz w:val="21"/>
                      <w:szCs w:val="21"/>
                      <w:u w:val="single"/>
                    </w:rPr>
                    <w:t>、含油手套</w:t>
                  </w:r>
                  <w:r>
                    <w:rPr>
                      <w:bCs/>
                      <w:sz w:val="21"/>
                      <w:szCs w:val="21"/>
                      <w:u w:val="single"/>
                    </w:rPr>
                    <w:t>等</w:t>
                  </w:r>
                  <w:r>
                    <w:rPr>
                      <w:rFonts w:hint="eastAsia"/>
                      <w:bCs/>
                      <w:sz w:val="21"/>
                      <w:szCs w:val="21"/>
                      <w:u w:val="single"/>
                    </w:rPr>
                    <w:t>，</w:t>
                  </w:r>
                  <w:r>
                    <w:rPr>
                      <w:bCs/>
                      <w:sz w:val="21"/>
                      <w:szCs w:val="21"/>
                      <w:u w:val="single"/>
                    </w:rPr>
                    <w:t>收集后暂存于垃圾桶或库</w:t>
                  </w:r>
                  <w:r>
                    <w:rPr>
                      <w:rFonts w:hint="eastAsia"/>
                      <w:bCs/>
                      <w:sz w:val="21"/>
                      <w:szCs w:val="21"/>
                      <w:u w:val="single"/>
                      <w:lang w:eastAsia="zh-CN"/>
                    </w:rPr>
                    <w:t>房</w:t>
                  </w:r>
                  <w:r>
                    <w:rPr>
                      <w:rFonts w:hint="eastAsia"/>
                      <w:bCs/>
                      <w:sz w:val="21"/>
                      <w:szCs w:val="21"/>
                      <w:u w:val="single"/>
                    </w:rPr>
                    <w:t>，</w:t>
                  </w:r>
                  <w:r>
                    <w:rPr>
                      <w:rFonts w:hint="eastAsia"/>
                      <w:bCs/>
                      <w:sz w:val="21"/>
                      <w:szCs w:val="21"/>
                      <w:u w:val="single"/>
                      <w:lang w:eastAsia="zh-CN"/>
                    </w:rPr>
                    <w:t>定期</w:t>
                  </w:r>
                  <w:r>
                    <w:rPr>
                      <w:bCs/>
                      <w:sz w:val="21"/>
                      <w:szCs w:val="21"/>
                      <w:u w:val="single"/>
                    </w:rPr>
                    <w:t>交环卫部门处理</w:t>
                  </w:r>
                  <w:r>
                    <w:rPr>
                      <w:rFonts w:hint="eastAsia"/>
                      <w:bCs/>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463" w:hRule="atLeast"/>
              </w:trPr>
              <w:tc>
                <w:tcPr>
                  <w:tcW w:w="456" w:type="pct"/>
                  <w:vMerge w:val="continue"/>
                  <w:noWrap/>
                  <w:vAlign w:val="center"/>
                </w:tcPr>
                <w:p>
                  <w:pPr>
                    <w:snapToGrid w:val="0"/>
                    <w:spacing w:line="240" w:lineRule="auto"/>
                    <w:jc w:val="center"/>
                    <w:rPr>
                      <w:bCs/>
                      <w:sz w:val="21"/>
                      <w:szCs w:val="21"/>
                      <w:u w:val="single"/>
                    </w:rPr>
                  </w:pPr>
                </w:p>
              </w:tc>
              <w:tc>
                <w:tcPr>
                  <w:tcW w:w="464" w:type="pct"/>
                  <w:vMerge w:val="continue"/>
                  <w:noWrap/>
                  <w:vAlign w:val="center"/>
                </w:tcPr>
                <w:p>
                  <w:pPr>
                    <w:snapToGrid w:val="0"/>
                    <w:spacing w:line="240" w:lineRule="auto"/>
                    <w:jc w:val="center"/>
                    <w:rPr>
                      <w:bCs/>
                      <w:sz w:val="21"/>
                      <w:szCs w:val="21"/>
                      <w:u w:val="single"/>
                    </w:rPr>
                  </w:pPr>
                </w:p>
              </w:tc>
              <w:tc>
                <w:tcPr>
                  <w:tcW w:w="4078" w:type="pct"/>
                  <w:gridSpan w:val="4"/>
                  <w:noWrap/>
                  <w:vAlign w:val="center"/>
                </w:tcPr>
                <w:p>
                  <w:pPr>
                    <w:pStyle w:val="94"/>
                    <w:widowControl w:val="0"/>
                    <w:adjustRightInd/>
                    <w:spacing w:after="0" w:line="240" w:lineRule="auto"/>
                    <w:ind w:firstLine="0" w:firstLineChars="0"/>
                    <w:rPr>
                      <w:rFonts w:hint="default" w:eastAsiaTheme="minorEastAsia"/>
                      <w:sz w:val="21"/>
                      <w:szCs w:val="21"/>
                      <w:u w:val="single"/>
                      <w:lang w:val="en-US" w:eastAsia="zh-CN"/>
                    </w:rPr>
                  </w:pPr>
                  <w:r>
                    <w:rPr>
                      <w:rFonts w:hint="eastAsia"/>
                      <w:color w:val="000000" w:themeColor="text1"/>
                      <w:sz w:val="21"/>
                      <w:szCs w:val="21"/>
                      <w:u w:val="single"/>
                      <w:lang w:val="en-US" w:eastAsia="zh-CN"/>
                    </w:rPr>
                    <w:t>废油液、废电容器、废尾气净化装置、废含汞开关、废铅蓄电池、废电路板、含油污泥、</w:t>
                  </w:r>
                  <w:r>
                    <w:rPr>
                      <w:bCs/>
                      <w:sz w:val="21"/>
                      <w:szCs w:val="21"/>
                      <w:u w:val="single"/>
                    </w:rPr>
                    <w:t>废活性炭</w:t>
                  </w:r>
                  <w:r>
                    <w:rPr>
                      <w:rFonts w:hint="eastAsia"/>
                      <w:bCs/>
                      <w:sz w:val="21"/>
                      <w:szCs w:val="21"/>
                      <w:u w:val="single"/>
                      <w:lang w:eastAsia="zh-CN"/>
                    </w:rPr>
                    <w:t>等</w:t>
                  </w:r>
                  <w:r>
                    <w:rPr>
                      <w:bCs/>
                      <w:sz w:val="21"/>
                      <w:szCs w:val="21"/>
                      <w:u w:val="single"/>
                    </w:rPr>
                    <w:t>分别使用专用</w:t>
                  </w:r>
                  <w:r>
                    <w:rPr>
                      <w:rFonts w:hint="eastAsia"/>
                      <w:bCs/>
                      <w:sz w:val="21"/>
                      <w:szCs w:val="21"/>
                      <w:u w:val="single"/>
                    </w:rPr>
                    <w:t>存储设施</w:t>
                  </w:r>
                  <w:r>
                    <w:rPr>
                      <w:bCs/>
                      <w:sz w:val="21"/>
                      <w:szCs w:val="21"/>
                      <w:u w:val="single"/>
                    </w:rPr>
                    <w:t>装存</w:t>
                  </w:r>
                  <w:r>
                    <w:rPr>
                      <w:rFonts w:hint="eastAsia"/>
                      <w:bCs/>
                      <w:sz w:val="21"/>
                      <w:szCs w:val="21"/>
                      <w:u w:val="single"/>
                    </w:rPr>
                    <w:t>，</w:t>
                  </w:r>
                  <w:r>
                    <w:rPr>
                      <w:bCs/>
                      <w:sz w:val="21"/>
                      <w:szCs w:val="21"/>
                      <w:u w:val="single"/>
                    </w:rPr>
                    <w:t>危废储存即各类废物</w:t>
                  </w:r>
                  <w:r>
                    <w:rPr>
                      <w:rFonts w:hint="eastAsia"/>
                      <w:bCs/>
                      <w:sz w:val="21"/>
                      <w:szCs w:val="21"/>
                      <w:u w:val="single"/>
                    </w:rPr>
                    <w:t>分类</w:t>
                  </w:r>
                  <w:r>
                    <w:rPr>
                      <w:bCs/>
                      <w:sz w:val="21"/>
                      <w:szCs w:val="21"/>
                      <w:u w:val="single"/>
                    </w:rPr>
                    <w:t>收集、贮存区</w:t>
                  </w:r>
                  <w:r>
                    <w:rPr>
                      <w:rFonts w:hint="eastAsia"/>
                      <w:bCs/>
                      <w:sz w:val="21"/>
                      <w:szCs w:val="21"/>
                      <w:u w:val="single"/>
                    </w:rPr>
                    <w:t>分区存放，危废存储容器贴好标签、标识，地面及裙角进行防渗处理</w:t>
                  </w:r>
                  <w:r>
                    <w:rPr>
                      <w:rFonts w:hint="eastAsia"/>
                      <w:bCs/>
                      <w:sz w:val="21"/>
                      <w:szCs w:val="21"/>
                      <w:u w:val="single"/>
                      <w:lang w:eastAsia="zh-CN"/>
                    </w:rPr>
                    <w:t>，暂存</w:t>
                  </w:r>
                  <w:r>
                    <w:rPr>
                      <w:rFonts w:hint="eastAsia"/>
                      <w:bCs/>
                      <w:sz w:val="21"/>
                      <w:szCs w:val="21"/>
                      <w:u w:val="single"/>
                    </w:rPr>
                    <w:t>危险废物暂存间</w:t>
                  </w:r>
                  <w:r>
                    <w:rPr>
                      <w:rFonts w:hint="eastAsia"/>
                      <w:bCs/>
                      <w:sz w:val="21"/>
                      <w:szCs w:val="21"/>
                      <w:u w:val="single"/>
                      <w:lang w:eastAsia="zh-CN"/>
                    </w:rPr>
                    <w:t>暂存</w:t>
                  </w:r>
                  <w:r>
                    <w:rPr>
                      <w:rFonts w:hint="eastAsia"/>
                      <w:bCs/>
                      <w:sz w:val="21"/>
                      <w:szCs w:val="21"/>
                      <w:u w:val="single"/>
                    </w:rPr>
                    <w:t>，</w:t>
                  </w:r>
                  <w:r>
                    <w:rPr>
                      <w:rFonts w:hint="eastAsia"/>
                      <w:bCs/>
                      <w:sz w:val="21"/>
                      <w:szCs w:val="21"/>
                      <w:u w:val="single"/>
                      <w:lang w:eastAsia="zh-CN"/>
                    </w:rPr>
                    <w:t>定期</w:t>
                  </w:r>
                  <w:r>
                    <w:rPr>
                      <w:bCs/>
                      <w:sz w:val="21"/>
                      <w:szCs w:val="21"/>
                      <w:u w:val="single"/>
                    </w:rPr>
                    <w:t>交</w:t>
                  </w:r>
                  <w:r>
                    <w:rPr>
                      <w:rFonts w:hint="eastAsia"/>
                      <w:bCs/>
                      <w:sz w:val="21"/>
                      <w:szCs w:val="21"/>
                      <w:u w:val="single"/>
                    </w:rPr>
                    <w:t>有资质单位处理</w:t>
                  </w:r>
                  <w:r>
                    <w:rPr>
                      <w:rFonts w:hint="eastAsia"/>
                      <w:bCs/>
                      <w:sz w:val="21"/>
                      <w:szCs w:val="21"/>
                      <w:u w:val="singl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6" w:type="pct"/>
                  <w:vMerge w:val="continue"/>
                  <w:noWrap/>
                  <w:vAlign w:val="center"/>
                </w:tcPr>
                <w:p>
                  <w:pPr>
                    <w:snapToGrid w:val="0"/>
                    <w:spacing w:line="240" w:lineRule="auto"/>
                    <w:jc w:val="center"/>
                    <w:rPr>
                      <w:bCs/>
                      <w:sz w:val="21"/>
                      <w:szCs w:val="21"/>
                      <w:u w:val="single"/>
                    </w:rPr>
                  </w:pPr>
                </w:p>
              </w:tc>
              <w:tc>
                <w:tcPr>
                  <w:tcW w:w="464" w:type="pct"/>
                  <w:noWrap/>
                  <w:vAlign w:val="center"/>
                </w:tcPr>
                <w:p>
                  <w:pPr>
                    <w:snapToGrid w:val="0"/>
                    <w:spacing w:line="240" w:lineRule="auto"/>
                    <w:jc w:val="center"/>
                    <w:rPr>
                      <w:bCs/>
                      <w:sz w:val="21"/>
                      <w:szCs w:val="21"/>
                      <w:u w:val="single"/>
                    </w:rPr>
                  </w:pPr>
                  <w:r>
                    <w:rPr>
                      <w:bCs/>
                      <w:sz w:val="21"/>
                      <w:szCs w:val="21"/>
                      <w:u w:val="single"/>
                    </w:rPr>
                    <w:t>应急措施</w:t>
                  </w:r>
                </w:p>
              </w:tc>
              <w:tc>
                <w:tcPr>
                  <w:tcW w:w="4078" w:type="pct"/>
                  <w:gridSpan w:val="4"/>
                  <w:noWrap/>
                  <w:vAlign w:val="center"/>
                </w:tcPr>
                <w:p>
                  <w:pPr>
                    <w:pStyle w:val="94"/>
                    <w:widowControl w:val="0"/>
                    <w:adjustRightInd/>
                    <w:spacing w:after="0" w:line="240" w:lineRule="auto"/>
                    <w:ind w:firstLine="0" w:firstLineChars="0"/>
                    <w:rPr>
                      <w:bCs/>
                      <w:sz w:val="21"/>
                      <w:szCs w:val="21"/>
                      <w:u w:val="single"/>
                    </w:rPr>
                  </w:pPr>
                  <w:r>
                    <w:rPr>
                      <w:rFonts w:hint="eastAsia"/>
                      <w:bCs/>
                      <w:sz w:val="21"/>
                      <w:szCs w:val="21"/>
                      <w:u w:val="single"/>
                    </w:rPr>
                    <w:t>危机油收储车间</w:t>
                  </w:r>
                  <w:r>
                    <w:rPr>
                      <w:rFonts w:hint="eastAsia"/>
                      <w:bCs/>
                      <w:sz w:val="21"/>
                      <w:szCs w:val="21"/>
                      <w:u w:val="single"/>
                      <w:lang w:eastAsia="zh-CN"/>
                    </w:rPr>
                    <w:t>（又称危废间）</w:t>
                  </w:r>
                  <w:r>
                    <w:rPr>
                      <w:rFonts w:hint="eastAsia"/>
                      <w:bCs/>
                      <w:sz w:val="21"/>
                      <w:szCs w:val="21"/>
                      <w:u w:val="single"/>
                    </w:rPr>
                    <w:t>，废油液储存区及储罐区</w:t>
                  </w:r>
                  <w:r>
                    <w:rPr>
                      <w:bCs/>
                      <w:sz w:val="21"/>
                      <w:szCs w:val="21"/>
                      <w:u w:val="single"/>
                    </w:rPr>
                    <w:t>设置围堰，</w:t>
                  </w:r>
                  <w:r>
                    <w:rPr>
                      <w:rFonts w:hint="eastAsia"/>
                      <w:bCs/>
                      <w:sz w:val="21"/>
                      <w:szCs w:val="21"/>
                      <w:u w:val="single"/>
                    </w:rPr>
                    <w:t>厂区地面进行防渗，</w:t>
                  </w:r>
                  <w:r>
                    <w:rPr>
                      <w:bCs/>
                      <w:sz w:val="21"/>
                      <w:szCs w:val="21"/>
                      <w:u w:val="single"/>
                    </w:rPr>
                    <w:t>制定突发环境事件应急预案并备案。</w:t>
                  </w:r>
                </w:p>
              </w:tc>
            </w:tr>
          </w:tbl>
          <w:p>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宋体" w:hAnsi="宋体" w:cs="宋体"/>
                <w:b/>
                <w:sz w:val="24"/>
              </w:rPr>
            </w:pPr>
          </w:p>
          <w:p>
            <w:pPr>
              <w:keepNext w:val="0"/>
              <w:keepLines w:val="0"/>
              <w:pageBreakBefore w:val="0"/>
              <w:widowControl w:val="0"/>
              <w:kinsoku/>
              <w:wordWrap/>
              <w:overflowPunct/>
              <w:topLinePunct w:val="0"/>
              <w:autoSpaceDE/>
              <w:autoSpaceDN/>
              <w:bidi w:val="0"/>
              <w:snapToGrid w:val="0"/>
              <w:spacing w:line="430" w:lineRule="exact"/>
              <w:ind w:firstLine="482" w:firstLineChars="200"/>
              <w:textAlignment w:val="auto"/>
              <w:rPr>
                <w:rFonts w:ascii="宋体" w:hAnsi="宋体" w:cs="宋体"/>
                <w:b/>
                <w:sz w:val="24"/>
              </w:rPr>
            </w:pPr>
            <w:r>
              <w:rPr>
                <w:rFonts w:hint="eastAsia" w:ascii="宋体" w:hAnsi="宋体" w:cs="宋体"/>
                <w:b/>
                <w:sz w:val="24"/>
              </w:rPr>
              <w:t>3、报废农机回收、拆解规模</w:t>
            </w:r>
          </w:p>
          <w:p>
            <w:pPr>
              <w:keepNext w:val="0"/>
              <w:keepLines w:val="0"/>
              <w:pageBreakBefore w:val="0"/>
              <w:widowControl w:val="0"/>
              <w:kinsoku/>
              <w:wordWrap/>
              <w:overflowPunct/>
              <w:topLinePunct w:val="0"/>
              <w:autoSpaceDE/>
              <w:autoSpaceDN/>
              <w:bidi w:val="0"/>
              <w:adjustRightInd w:val="0"/>
              <w:snapToGrid w:val="0"/>
              <w:spacing w:line="470" w:lineRule="exact"/>
              <w:ind w:firstLine="482" w:firstLineChars="200"/>
              <w:textAlignment w:val="auto"/>
              <w:rPr>
                <w:b/>
                <w:bCs/>
                <w:sz w:val="24"/>
              </w:rPr>
            </w:pPr>
            <w:r>
              <w:rPr>
                <w:rFonts w:hint="eastAsia" w:ascii="宋体" w:hAnsi="宋体" w:cs="宋体"/>
                <w:b/>
                <w:bCs/>
                <w:sz w:val="24"/>
              </w:rPr>
              <w:t>（1）</w:t>
            </w:r>
            <w:r>
              <w:rPr>
                <w:rFonts w:hint="eastAsia"/>
                <w:b/>
                <w:bCs/>
                <w:sz w:val="24"/>
              </w:rPr>
              <w:t>拆解规模</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pPr>
            <w:r>
              <w:rPr>
                <w:rFonts w:hint="eastAsia"/>
                <w:sz w:val="24"/>
              </w:rPr>
              <w:t>本项目年回收拆解农业机械</w:t>
            </w:r>
            <w:r>
              <w:rPr>
                <w:rFonts w:hint="eastAsia" w:ascii="宋体" w:hAnsi="宋体" w:cs="宋体"/>
                <w:sz w:val="24"/>
              </w:rPr>
              <w:t>5000</w:t>
            </w:r>
            <w:r>
              <w:rPr>
                <w:rFonts w:hint="eastAsia"/>
                <w:sz w:val="24"/>
              </w:rPr>
              <w:t>台，</w:t>
            </w:r>
            <w:r>
              <w:rPr>
                <w:rFonts w:hint="eastAsia" w:ascii="宋体" w:hAnsi="宋体" w:cs="宋体"/>
                <w:sz w:val="24"/>
              </w:rPr>
              <w:t>其中包括玉米收割机1000台、水稻收割机1000台、玉米脱粒机1000台、拖拉机1000台、插秧机1000台，其中所有农机不含电动自走式农业机械。</w:t>
            </w:r>
          </w:p>
          <w:p>
            <w:pPr>
              <w:keepNext w:val="0"/>
              <w:keepLines w:val="0"/>
              <w:pageBreakBefore w:val="0"/>
              <w:widowControl w:val="0"/>
              <w:kinsoku/>
              <w:wordWrap/>
              <w:overflowPunct/>
              <w:topLinePunct w:val="0"/>
              <w:autoSpaceDE/>
              <w:autoSpaceDN/>
              <w:bidi w:val="0"/>
              <w:adjustRightInd w:val="0"/>
              <w:snapToGrid w:val="0"/>
              <w:spacing w:line="470" w:lineRule="exact"/>
              <w:ind w:firstLine="482" w:firstLineChars="200"/>
              <w:textAlignment w:val="auto"/>
              <w:rPr>
                <w:rFonts w:ascii="宋体" w:hAnsi="宋体" w:cs="宋体"/>
                <w:b/>
                <w:bCs/>
                <w:sz w:val="24"/>
              </w:rPr>
            </w:pPr>
            <w:r>
              <w:rPr>
                <w:rFonts w:hint="eastAsia" w:ascii="宋体" w:hAnsi="宋体" w:cs="宋体"/>
                <w:b/>
                <w:bCs/>
                <w:sz w:val="24"/>
              </w:rPr>
              <w:t>（2）报废农机收纳范围</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ascii="宋体" w:hAnsi="宋体" w:cs="宋体"/>
                <w:kern w:val="0"/>
                <w:sz w:val="24"/>
              </w:rPr>
            </w:pPr>
            <w:r>
              <w:rPr>
                <w:rFonts w:hint="eastAsia" w:ascii="宋体" w:hAnsi="宋体" w:cs="宋体"/>
                <w:sz w:val="24"/>
              </w:rPr>
              <w:t>本项目主要拆解报废农业机械，报废农机来源主要为白城市范围内以及周边农村地区产生的报废农业机械，主要包括玉米收割机、水稻收割机、玉米脱粒机、拖拉机以及插秧机均为自走式农业机械，本项目拆解对象不包括纯电动农机设备，不包括小轿车</w:t>
            </w:r>
            <w:r>
              <w:rPr>
                <w:rFonts w:hint="eastAsia"/>
                <w:sz w:val="24"/>
              </w:rPr>
              <w:t>、货车、客车、以及摩托车等，不包括</w:t>
            </w:r>
            <w:r>
              <w:rPr>
                <w:rFonts w:hint="eastAsia" w:ascii="宋体" w:hAnsi="宋体" w:cs="宋体"/>
                <w:kern w:val="0"/>
                <w:sz w:val="24"/>
              </w:rPr>
              <w:t>其他油罐车、消防车、危险品运输车型等。</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jc w:val="left"/>
              <w:textAlignment w:val="auto"/>
              <w:rPr>
                <w:color w:val="111111"/>
                <w:sz w:val="24"/>
                <w:shd w:val="clear" w:color="auto" w:fill="FFFFFF"/>
              </w:rPr>
            </w:pPr>
            <w:r>
              <w:rPr>
                <w:rFonts w:hint="eastAsia"/>
                <w:color w:val="111111"/>
                <w:sz w:val="24"/>
                <w:shd w:val="clear" w:color="auto" w:fill="FFFFFF"/>
              </w:rPr>
              <w:t>本项目收集废机油均从汽车维修厂、4S店等更换下来的废机油。本项目收集废机油</w:t>
            </w:r>
            <w:r>
              <w:rPr>
                <w:color w:val="111111"/>
                <w:sz w:val="24"/>
                <w:shd w:val="clear" w:color="auto" w:fill="FFFFFF"/>
              </w:rPr>
              <w:t>进场</w:t>
            </w:r>
            <w:r>
              <w:rPr>
                <w:rFonts w:hint="eastAsia"/>
                <w:color w:val="111111"/>
                <w:sz w:val="24"/>
                <w:shd w:val="clear" w:color="auto" w:fill="FFFFFF"/>
              </w:rPr>
              <w:t>前</w:t>
            </w:r>
            <w:r>
              <w:rPr>
                <w:color w:val="111111"/>
                <w:sz w:val="24"/>
                <w:shd w:val="clear" w:color="auto" w:fill="FFFFFF"/>
              </w:rPr>
              <w:t>进行检验，并登记注册</w:t>
            </w:r>
            <w:r>
              <w:rPr>
                <w:rFonts w:hint="eastAsia"/>
                <w:color w:val="111111"/>
                <w:sz w:val="24"/>
                <w:shd w:val="clear" w:color="auto" w:fill="FFFFFF"/>
              </w:rPr>
              <w:t>。本项目不接受未粘贴标签或标签未按规定填写的危险废物。根据企业提供调查分析，从当地各汽车维修厂、4S店等更换下来的废机油，贮存场所内的单次最大贮存量为10t，废机油每7天转运一次，本项目年运行时间为350天，因此本项目</w:t>
            </w:r>
            <w:r>
              <w:rPr>
                <w:color w:val="111111"/>
                <w:sz w:val="24"/>
                <w:shd w:val="clear" w:color="auto" w:fill="FFFFFF"/>
              </w:rPr>
              <w:t>年</w:t>
            </w:r>
            <w:r>
              <w:rPr>
                <w:rFonts w:hint="eastAsia"/>
                <w:color w:val="111111"/>
                <w:sz w:val="24"/>
                <w:shd w:val="clear" w:color="auto" w:fill="FFFFFF"/>
              </w:rPr>
              <w:t>收集</w:t>
            </w:r>
            <w:r>
              <w:rPr>
                <w:color w:val="111111"/>
                <w:sz w:val="24"/>
                <w:shd w:val="clear" w:color="auto" w:fill="FFFFFF"/>
              </w:rPr>
              <w:t>量</w:t>
            </w:r>
            <w:r>
              <w:rPr>
                <w:rFonts w:hint="eastAsia"/>
                <w:color w:val="111111"/>
                <w:sz w:val="24"/>
                <w:shd w:val="clear" w:color="auto" w:fill="FFFFFF"/>
              </w:rPr>
              <w:t>可达500t。</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cs="宋体"/>
                <w:kern w:val="0"/>
                <w:sz w:val="24"/>
                <w:u w:val="single"/>
              </w:rPr>
            </w:pPr>
            <w:r>
              <w:rPr>
                <w:rFonts w:hint="eastAsia" w:ascii="宋体" w:hAnsi="宋体" w:cs="宋体"/>
                <w:kern w:val="0"/>
                <w:sz w:val="24"/>
                <w:u w:val="single"/>
              </w:rPr>
              <w:t>本项目原辅材料使用详见下表：</w:t>
            </w:r>
          </w:p>
          <w:p>
            <w:pPr>
              <w:pStyle w:val="2"/>
              <w:rPr>
                <w:rFonts w:hint="eastAsia" w:ascii="宋体" w:hAnsi="宋体" w:cs="宋体"/>
                <w:kern w:val="0"/>
                <w:sz w:val="24"/>
                <w:u w:val="single"/>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pPr>
          </w:p>
          <w:p>
            <w:pPr>
              <w:adjustRightInd w:val="0"/>
              <w:snapToGrid w:val="0"/>
              <w:spacing w:line="360" w:lineRule="auto"/>
              <w:jc w:val="center"/>
              <w:rPr>
                <w:b/>
                <w:sz w:val="24"/>
                <w:u w:val="single"/>
              </w:rPr>
            </w:pPr>
            <w:r>
              <w:rPr>
                <w:rFonts w:hint="eastAsia"/>
                <w:b/>
                <w:sz w:val="24"/>
                <w:u w:val="single"/>
              </w:rPr>
              <w:t>表1</w:t>
            </w:r>
            <w:r>
              <w:rPr>
                <w:rFonts w:hint="eastAsia"/>
                <w:b/>
                <w:sz w:val="24"/>
                <w:u w:val="single"/>
                <w:lang w:val="en-US" w:eastAsia="zh-CN"/>
              </w:rPr>
              <w:t>1</w:t>
            </w:r>
            <w:r>
              <w:rPr>
                <w:rFonts w:hint="eastAsia"/>
                <w:b/>
                <w:sz w:val="24"/>
                <w:u w:val="single"/>
              </w:rPr>
              <w:t xml:space="preserve"> 本项目原辅材料年消耗一览表</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2"/>
              <w:gridCol w:w="963"/>
              <w:gridCol w:w="1100"/>
              <w:gridCol w:w="39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trPr>
              <w:tc>
                <w:tcPr>
                  <w:tcW w:w="728" w:type="dxa"/>
                  <w:shd w:val="clear" w:color="auto" w:fill="auto"/>
                  <w:noWrap/>
                  <w:vAlign w:val="center"/>
                </w:tcPr>
                <w:p>
                  <w:pPr>
                    <w:adjustRightInd w:val="0"/>
                    <w:snapToGrid w:val="0"/>
                    <w:jc w:val="center"/>
                    <w:rPr>
                      <w:b/>
                      <w:bCs/>
                      <w:u w:val="single"/>
                    </w:rPr>
                  </w:pPr>
                  <w:r>
                    <w:rPr>
                      <w:rFonts w:hint="eastAsia"/>
                      <w:b/>
                      <w:bCs/>
                      <w:u w:val="single"/>
                    </w:rPr>
                    <w:t>序号</w:t>
                  </w:r>
                </w:p>
              </w:tc>
              <w:tc>
                <w:tcPr>
                  <w:tcW w:w="1272" w:type="dxa"/>
                  <w:shd w:val="clear" w:color="auto" w:fill="auto"/>
                  <w:noWrap/>
                  <w:vAlign w:val="center"/>
                </w:tcPr>
                <w:p>
                  <w:pPr>
                    <w:adjustRightInd w:val="0"/>
                    <w:snapToGrid w:val="0"/>
                    <w:jc w:val="center"/>
                    <w:rPr>
                      <w:b/>
                      <w:bCs/>
                      <w:u w:val="single"/>
                    </w:rPr>
                  </w:pPr>
                  <w:r>
                    <w:rPr>
                      <w:rFonts w:hint="eastAsia"/>
                      <w:b/>
                      <w:bCs/>
                      <w:u w:val="single"/>
                    </w:rPr>
                    <w:t>原料名称</w:t>
                  </w:r>
                </w:p>
              </w:tc>
              <w:tc>
                <w:tcPr>
                  <w:tcW w:w="963" w:type="dxa"/>
                  <w:shd w:val="clear" w:color="auto" w:fill="auto"/>
                  <w:noWrap/>
                  <w:vAlign w:val="center"/>
                </w:tcPr>
                <w:p>
                  <w:pPr>
                    <w:adjustRightInd w:val="0"/>
                    <w:snapToGrid w:val="0"/>
                    <w:jc w:val="center"/>
                    <w:rPr>
                      <w:b/>
                      <w:bCs/>
                      <w:u w:val="single"/>
                    </w:rPr>
                  </w:pPr>
                  <w:r>
                    <w:rPr>
                      <w:rFonts w:hint="eastAsia"/>
                      <w:b/>
                      <w:bCs/>
                      <w:u w:val="single"/>
                    </w:rPr>
                    <w:t>单位</w:t>
                  </w:r>
                </w:p>
              </w:tc>
              <w:tc>
                <w:tcPr>
                  <w:tcW w:w="1100" w:type="dxa"/>
                  <w:shd w:val="clear" w:color="auto" w:fill="auto"/>
                  <w:noWrap/>
                  <w:vAlign w:val="center"/>
                </w:tcPr>
                <w:p>
                  <w:pPr>
                    <w:adjustRightInd w:val="0"/>
                    <w:snapToGrid w:val="0"/>
                    <w:jc w:val="center"/>
                    <w:rPr>
                      <w:b/>
                      <w:bCs/>
                      <w:u w:val="single"/>
                    </w:rPr>
                  </w:pPr>
                  <w:r>
                    <w:rPr>
                      <w:rFonts w:hint="eastAsia"/>
                      <w:b/>
                      <w:bCs/>
                      <w:u w:val="single"/>
                    </w:rPr>
                    <w:t>数量</w:t>
                  </w:r>
                </w:p>
              </w:tc>
              <w:tc>
                <w:tcPr>
                  <w:tcW w:w="3991" w:type="dxa"/>
                  <w:shd w:val="clear" w:color="auto" w:fill="auto"/>
                  <w:noWrap/>
                  <w:vAlign w:val="center"/>
                </w:tcPr>
                <w:p>
                  <w:pPr>
                    <w:adjustRightInd w:val="0"/>
                    <w:snapToGrid w:val="0"/>
                    <w:jc w:val="center"/>
                    <w:rPr>
                      <w:b/>
                      <w:bCs/>
                      <w:u w:val="single"/>
                    </w:rPr>
                  </w:pPr>
                  <w:r>
                    <w:rPr>
                      <w:rFonts w:hint="eastAsia"/>
                      <w:b/>
                      <w:bCs/>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8" w:type="dxa"/>
                  <w:shd w:val="clear" w:color="auto" w:fill="auto"/>
                  <w:noWrap/>
                  <w:vAlign w:val="center"/>
                </w:tcPr>
                <w:p>
                  <w:pPr>
                    <w:adjustRightInd w:val="0"/>
                    <w:snapToGrid w:val="0"/>
                    <w:jc w:val="center"/>
                    <w:rPr>
                      <w:u w:val="single"/>
                    </w:rPr>
                  </w:pPr>
                  <w:r>
                    <w:rPr>
                      <w:rFonts w:hint="eastAsia"/>
                      <w:u w:val="single"/>
                    </w:rPr>
                    <w:t>1</w:t>
                  </w:r>
                </w:p>
              </w:tc>
              <w:tc>
                <w:tcPr>
                  <w:tcW w:w="1272" w:type="dxa"/>
                  <w:shd w:val="clear" w:color="auto" w:fill="auto"/>
                  <w:noWrap/>
                  <w:vAlign w:val="center"/>
                </w:tcPr>
                <w:p>
                  <w:pPr>
                    <w:adjustRightInd w:val="0"/>
                    <w:snapToGrid w:val="0"/>
                    <w:jc w:val="center"/>
                    <w:rPr>
                      <w:u w:val="single"/>
                    </w:rPr>
                  </w:pPr>
                  <w:r>
                    <w:rPr>
                      <w:rFonts w:hint="eastAsia" w:ascii="宋体" w:hAnsi="宋体"/>
                      <w:u w:val="single"/>
                    </w:rPr>
                    <w:t>玉米收割机</w:t>
                  </w:r>
                </w:p>
              </w:tc>
              <w:tc>
                <w:tcPr>
                  <w:tcW w:w="963" w:type="dxa"/>
                  <w:shd w:val="clear" w:color="auto" w:fill="auto"/>
                  <w:noWrap/>
                  <w:vAlign w:val="center"/>
                </w:tcPr>
                <w:p>
                  <w:pPr>
                    <w:adjustRightInd w:val="0"/>
                    <w:snapToGrid w:val="0"/>
                    <w:jc w:val="center"/>
                    <w:rPr>
                      <w:u w:val="single"/>
                    </w:rPr>
                  </w:pPr>
                  <w:r>
                    <w:rPr>
                      <w:rFonts w:hint="eastAsia"/>
                      <w:u w:val="single"/>
                    </w:rPr>
                    <w:t>台</w:t>
                  </w:r>
                </w:p>
              </w:tc>
              <w:tc>
                <w:tcPr>
                  <w:tcW w:w="1100" w:type="dxa"/>
                  <w:shd w:val="clear" w:color="auto" w:fill="auto"/>
                  <w:noWrap/>
                  <w:vAlign w:val="center"/>
                </w:tcPr>
                <w:p>
                  <w:pPr>
                    <w:adjustRightInd w:val="0"/>
                    <w:snapToGrid w:val="0"/>
                    <w:jc w:val="center"/>
                    <w:rPr>
                      <w:u w:val="single"/>
                    </w:rPr>
                  </w:pPr>
                  <w:r>
                    <w:rPr>
                      <w:rFonts w:hint="eastAsia"/>
                      <w:u w:val="single"/>
                    </w:rPr>
                    <w:t>1000</w:t>
                  </w:r>
                </w:p>
              </w:tc>
              <w:tc>
                <w:tcPr>
                  <w:tcW w:w="3991" w:type="dxa"/>
                  <w:vMerge w:val="restart"/>
                  <w:shd w:val="clear" w:color="auto" w:fill="auto"/>
                  <w:noWrap/>
                  <w:vAlign w:val="center"/>
                </w:tcPr>
                <w:p>
                  <w:pPr>
                    <w:adjustRightInd w:val="0"/>
                    <w:snapToGrid w:val="0"/>
                    <w:jc w:val="center"/>
                    <w:rPr>
                      <w:u w:val="single"/>
                    </w:rPr>
                  </w:pPr>
                  <w:r>
                    <w:rPr>
                      <w:rFonts w:hint="eastAsia"/>
                      <w:u w:val="single"/>
                    </w:rPr>
                    <w:t>农机来源为白城市及</w:t>
                  </w:r>
                </w:p>
                <w:p>
                  <w:pPr>
                    <w:adjustRightInd w:val="0"/>
                    <w:snapToGrid w:val="0"/>
                    <w:jc w:val="center"/>
                    <w:rPr>
                      <w:u w:val="single"/>
                    </w:rPr>
                  </w:pPr>
                  <w:r>
                    <w:rPr>
                      <w:rFonts w:hint="eastAsia"/>
                      <w:u w:val="single"/>
                    </w:rPr>
                    <w:t>周边地区农村地区报废农机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trPr>
              <w:tc>
                <w:tcPr>
                  <w:tcW w:w="728" w:type="dxa"/>
                  <w:shd w:val="clear" w:color="auto" w:fill="auto"/>
                  <w:noWrap/>
                  <w:vAlign w:val="center"/>
                </w:tcPr>
                <w:p>
                  <w:pPr>
                    <w:adjustRightInd w:val="0"/>
                    <w:snapToGrid w:val="0"/>
                    <w:jc w:val="center"/>
                    <w:rPr>
                      <w:u w:val="single"/>
                    </w:rPr>
                  </w:pPr>
                  <w:r>
                    <w:rPr>
                      <w:rFonts w:hint="eastAsia"/>
                      <w:u w:val="single"/>
                    </w:rPr>
                    <w:t>2</w:t>
                  </w:r>
                </w:p>
              </w:tc>
              <w:tc>
                <w:tcPr>
                  <w:tcW w:w="1272" w:type="dxa"/>
                  <w:shd w:val="clear" w:color="auto" w:fill="auto"/>
                  <w:noWrap/>
                  <w:vAlign w:val="center"/>
                </w:tcPr>
                <w:p>
                  <w:pPr>
                    <w:adjustRightInd w:val="0"/>
                    <w:snapToGrid w:val="0"/>
                    <w:jc w:val="center"/>
                    <w:rPr>
                      <w:u w:val="single"/>
                    </w:rPr>
                  </w:pPr>
                  <w:r>
                    <w:rPr>
                      <w:rFonts w:hint="eastAsia" w:ascii="宋体" w:hAnsi="宋体"/>
                      <w:u w:val="single"/>
                    </w:rPr>
                    <w:t>水稻收割机</w:t>
                  </w:r>
                </w:p>
              </w:tc>
              <w:tc>
                <w:tcPr>
                  <w:tcW w:w="963" w:type="dxa"/>
                  <w:shd w:val="clear" w:color="auto" w:fill="auto"/>
                  <w:noWrap/>
                  <w:vAlign w:val="center"/>
                </w:tcPr>
                <w:p>
                  <w:pPr>
                    <w:adjustRightInd w:val="0"/>
                    <w:snapToGrid w:val="0"/>
                    <w:jc w:val="center"/>
                    <w:rPr>
                      <w:u w:val="single"/>
                    </w:rPr>
                  </w:pPr>
                  <w:r>
                    <w:rPr>
                      <w:rFonts w:hint="eastAsia"/>
                      <w:u w:val="single"/>
                    </w:rPr>
                    <w:t>台</w:t>
                  </w:r>
                </w:p>
              </w:tc>
              <w:tc>
                <w:tcPr>
                  <w:tcW w:w="1100" w:type="dxa"/>
                  <w:shd w:val="clear" w:color="auto" w:fill="auto"/>
                  <w:noWrap/>
                  <w:vAlign w:val="center"/>
                </w:tcPr>
                <w:p>
                  <w:pPr>
                    <w:adjustRightInd w:val="0"/>
                    <w:snapToGrid w:val="0"/>
                    <w:jc w:val="center"/>
                    <w:rPr>
                      <w:u w:val="single"/>
                    </w:rPr>
                  </w:pPr>
                  <w:r>
                    <w:rPr>
                      <w:rFonts w:hint="eastAsia"/>
                      <w:u w:val="single"/>
                    </w:rPr>
                    <w:t>1000</w:t>
                  </w:r>
                </w:p>
              </w:tc>
              <w:tc>
                <w:tcPr>
                  <w:tcW w:w="3991" w:type="dxa"/>
                  <w:vMerge w:val="continue"/>
                  <w:shd w:val="clear" w:color="auto" w:fill="auto"/>
                  <w:noWrap/>
                  <w:vAlign w:val="center"/>
                </w:tcPr>
                <w:p>
                  <w:pPr>
                    <w:adjustRightInd w:val="0"/>
                    <w:snapToGrid w:val="0"/>
                    <w:jc w:val="center"/>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trPr>
              <w:tc>
                <w:tcPr>
                  <w:tcW w:w="728" w:type="dxa"/>
                  <w:shd w:val="clear" w:color="auto" w:fill="auto"/>
                  <w:noWrap/>
                  <w:vAlign w:val="center"/>
                </w:tcPr>
                <w:p>
                  <w:pPr>
                    <w:adjustRightInd w:val="0"/>
                    <w:snapToGrid w:val="0"/>
                    <w:jc w:val="center"/>
                    <w:rPr>
                      <w:u w:val="single"/>
                    </w:rPr>
                  </w:pPr>
                  <w:r>
                    <w:rPr>
                      <w:rFonts w:hint="eastAsia"/>
                      <w:u w:val="single"/>
                    </w:rPr>
                    <w:t>3</w:t>
                  </w:r>
                </w:p>
              </w:tc>
              <w:tc>
                <w:tcPr>
                  <w:tcW w:w="1272" w:type="dxa"/>
                  <w:shd w:val="clear" w:color="auto" w:fill="auto"/>
                  <w:noWrap/>
                  <w:vAlign w:val="center"/>
                </w:tcPr>
                <w:p>
                  <w:pPr>
                    <w:adjustRightInd w:val="0"/>
                    <w:snapToGrid w:val="0"/>
                    <w:jc w:val="center"/>
                    <w:rPr>
                      <w:rFonts w:ascii="宋体" w:hAnsi="宋体" w:cs="宋体"/>
                      <w:u w:val="single"/>
                    </w:rPr>
                  </w:pPr>
                  <w:r>
                    <w:rPr>
                      <w:rFonts w:hint="eastAsia" w:ascii="宋体" w:hAnsi="宋体" w:cs="宋体"/>
                      <w:u w:val="single"/>
                    </w:rPr>
                    <w:t>玉米脱粒机</w:t>
                  </w:r>
                </w:p>
              </w:tc>
              <w:tc>
                <w:tcPr>
                  <w:tcW w:w="963" w:type="dxa"/>
                  <w:shd w:val="clear" w:color="auto" w:fill="auto"/>
                  <w:noWrap/>
                  <w:vAlign w:val="center"/>
                </w:tcPr>
                <w:p>
                  <w:pPr>
                    <w:adjustRightInd w:val="0"/>
                    <w:snapToGrid w:val="0"/>
                    <w:jc w:val="center"/>
                    <w:rPr>
                      <w:u w:val="single"/>
                    </w:rPr>
                  </w:pPr>
                  <w:r>
                    <w:rPr>
                      <w:rFonts w:hint="eastAsia"/>
                      <w:u w:val="single"/>
                    </w:rPr>
                    <w:t>台</w:t>
                  </w:r>
                </w:p>
              </w:tc>
              <w:tc>
                <w:tcPr>
                  <w:tcW w:w="1100" w:type="dxa"/>
                  <w:shd w:val="clear" w:color="auto" w:fill="auto"/>
                  <w:noWrap/>
                  <w:vAlign w:val="center"/>
                </w:tcPr>
                <w:p>
                  <w:pPr>
                    <w:adjustRightInd w:val="0"/>
                    <w:snapToGrid w:val="0"/>
                    <w:jc w:val="center"/>
                    <w:rPr>
                      <w:u w:val="single"/>
                    </w:rPr>
                  </w:pPr>
                  <w:r>
                    <w:rPr>
                      <w:rFonts w:hint="eastAsia"/>
                      <w:u w:val="single"/>
                    </w:rPr>
                    <w:t>1000</w:t>
                  </w:r>
                </w:p>
              </w:tc>
              <w:tc>
                <w:tcPr>
                  <w:tcW w:w="3991" w:type="dxa"/>
                  <w:vMerge w:val="continue"/>
                  <w:shd w:val="clear" w:color="auto" w:fill="auto"/>
                  <w:noWrap/>
                  <w:vAlign w:val="center"/>
                </w:tcPr>
                <w:p>
                  <w:pPr>
                    <w:adjustRightInd w:val="0"/>
                    <w:snapToGrid w:val="0"/>
                    <w:jc w:val="center"/>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trPr>
              <w:tc>
                <w:tcPr>
                  <w:tcW w:w="728" w:type="dxa"/>
                  <w:shd w:val="clear" w:color="auto" w:fill="auto"/>
                  <w:noWrap/>
                  <w:vAlign w:val="center"/>
                </w:tcPr>
                <w:p>
                  <w:pPr>
                    <w:adjustRightInd w:val="0"/>
                    <w:snapToGrid w:val="0"/>
                    <w:jc w:val="center"/>
                    <w:rPr>
                      <w:u w:val="single"/>
                    </w:rPr>
                  </w:pPr>
                  <w:r>
                    <w:rPr>
                      <w:rFonts w:hint="eastAsia"/>
                      <w:u w:val="single"/>
                    </w:rPr>
                    <w:t>4</w:t>
                  </w:r>
                </w:p>
              </w:tc>
              <w:tc>
                <w:tcPr>
                  <w:tcW w:w="1272" w:type="dxa"/>
                  <w:shd w:val="clear" w:color="auto" w:fill="auto"/>
                  <w:noWrap/>
                  <w:vAlign w:val="center"/>
                </w:tcPr>
                <w:p>
                  <w:pPr>
                    <w:adjustRightInd w:val="0"/>
                    <w:snapToGrid w:val="0"/>
                    <w:jc w:val="center"/>
                    <w:rPr>
                      <w:u w:val="single"/>
                    </w:rPr>
                  </w:pPr>
                  <w:r>
                    <w:rPr>
                      <w:rFonts w:hint="eastAsia" w:ascii="宋体" w:hAnsi="宋体" w:cs="宋体"/>
                      <w:u w:val="single"/>
                    </w:rPr>
                    <w:t>拖拉机</w:t>
                  </w:r>
                </w:p>
              </w:tc>
              <w:tc>
                <w:tcPr>
                  <w:tcW w:w="963" w:type="dxa"/>
                  <w:shd w:val="clear" w:color="auto" w:fill="auto"/>
                  <w:noWrap/>
                  <w:vAlign w:val="center"/>
                </w:tcPr>
                <w:p>
                  <w:pPr>
                    <w:adjustRightInd w:val="0"/>
                    <w:snapToGrid w:val="0"/>
                    <w:jc w:val="center"/>
                    <w:rPr>
                      <w:u w:val="single"/>
                    </w:rPr>
                  </w:pPr>
                  <w:r>
                    <w:rPr>
                      <w:rFonts w:hint="eastAsia"/>
                      <w:u w:val="single"/>
                    </w:rPr>
                    <w:t>台</w:t>
                  </w:r>
                </w:p>
              </w:tc>
              <w:tc>
                <w:tcPr>
                  <w:tcW w:w="1100" w:type="dxa"/>
                  <w:shd w:val="clear" w:color="auto" w:fill="auto"/>
                  <w:noWrap/>
                  <w:vAlign w:val="center"/>
                </w:tcPr>
                <w:p>
                  <w:pPr>
                    <w:adjustRightInd w:val="0"/>
                    <w:snapToGrid w:val="0"/>
                    <w:jc w:val="center"/>
                    <w:rPr>
                      <w:u w:val="single"/>
                    </w:rPr>
                  </w:pPr>
                  <w:r>
                    <w:rPr>
                      <w:rFonts w:hint="eastAsia"/>
                      <w:u w:val="single"/>
                    </w:rPr>
                    <w:t>1000</w:t>
                  </w:r>
                </w:p>
              </w:tc>
              <w:tc>
                <w:tcPr>
                  <w:tcW w:w="3991" w:type="dxa"/>
                  <w:vMerge w:val="continue"/>
                  <w:shd w:val="clear" w:color="auto" w:fill="auto"/>
                  <w:noWrap/>
                  <w:vAlign w:val="center"/>
                </w:tcPr>
                <w:p>
                  <w:pPr>
                    <w:adjustRightInd w:val="0"/>
                    <w:snapToGrid w:val="0"/>
                    <w:jc w:val="center"/>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4" w:hRule="atLeast"/>
              </w:trPr>
              <w:tc>
                <w:tcPr>
                  <w:tcW w:w="728" w:type="dxa"/>
                  <w:shd w:val="clear" w:color="auto" w:fill="auto"/>
                  <w:noWrap/>
                  <w:vAlign w:val="center"/>
                </w:tcPr>
                <w:p>
                  <w:pPr>
                    <w:adjustRightInd w:val="0"/>
                    <w:snapToGrid w:val="0"/>
                    <w:jc w:val="center"/>
                    <w:rPr>
                      <w:u w:val="single"/>
                    </w:rPr>
                  </w:pPr>
                  <w:r>
                    <w:rPr>
                      <w:rFonts w:hint="eastAsia"/>
                      <w:u w:val="single"/>
                    </w:rPr>
                    <w:t>5</w:t>
                  </w:r>
                </w:p>
              </w:tc>
              <w:tc>
                <w:tcPr>
                  <w:tcW w:w="1272" w:type="dxa"/>
                  <w:shd w:val="clear" w:color="auto" w:fill="auto"/>
                  <w:noWrap/>
                  <w:vAlign w:val="center"/>
                </w:tcPr>
                <w:p>
                  <w:pPr>
                    <w:adjustRightInd w:val="0"/>
                    <w:snapToGrid w:val="0"/>
                    <w:jc w:val="center"/>
                    <w:rPr>
                      <w:u w:val="single"/>
                    </w:rPr>
                  </w:pPr>
                  <w:r>
                    <w:rPr>
                      <w:rFonts w:hint="eastAsia"/>
                      <w:u w:val="single"/>
                    </w:rPr>
                    <w:t>插秧机</w:t>
                  </w:r>
                </w:p>
              </w:tc>
              <w:tc>
                <w:tcPr>
                  <w:tcW w:w="963" w:type="dxa"/>
                  <w:shd w:val="clear" w:color="auto" w:fill="auto"/>
                  <w:noWrap/>
                  <w:vAlign w:val="center"/>
                </w:tcPr>
                <w:p>
                  <w:pPr>
                    <w:adjustRightInd w:val="0"/>
                    <w:snapToGrid w:val="0"/>
                    <w:jc w:val="center"/>
                    <w:rPr>
                      <w:u w:val="single"/>
                    </w:rPr>
                  </w:pPr>
                  <w:r>
                    <w:rPr>
                      <w:rFonts w:hint="eastAsia"/>
                      <w:u w:val="single"/>
                    </w:rPr>
                    <w:t>台</w:t>
                  </w:r>
                </w:p>
              </w:tc>
              <w:tc>
                <w:tcPr>
                  <w:tcW w:w="1100" w:type="dxa"/>
                  <w:shd w:val="clear" w:color="auto" w:fill="auto"/>
                  <w:noWrap/>
                  <w:vAlign w:val="center"/>
                </w:tcPr>
                <w:p>
                  <w:pPr>
                    <w:adjustRightInd w:val="0"/>
                    <w:snapToGrid w:val="0"/>
                    <w:jc w:val="center"/>
                    <w:rPr>
                      <w:u w:val="single"/>
                    </w:rPr>
                  </w:pPr>
                  <w:r>
                    <w:rPr>
                      <w:rFonts w:hint="eastAsia"/>
                      <w:u w:val="single"/>
                    </w:rPr>
                    <w:t>1000</w:t>
                  </w:r>
                </w:p>
              </w:tc>
              <w:tc>
                <w:tcPr>
                  <w:tcW w:w="3991" w:type="dxa"/>
                  <w:vMerge w:val="continue"/>
                  <w:shd w:val="clear" w:color="auto" w:fill="auto"/>
                  <w:noWrap/>
                  <w:vAlign w:val="center"/>
                </w:tcPr>
                <w:p>
                  <w:pPr>
                    <w:adjustRightInd w:val="0"/>
                    <w:snapToGrid w:val="0"/>
                    <w:jc w:val="center"/>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28" w:type="dxa"/>
                  <w:shd w:val="clear" w:color="auto" w:fill="auto"/>
                  <w:noWrap/>
                  <w:vAlign w:val="center"/>
                </w:tcPr>
                <w:p>
                  <w:pPr>
                    <w:adjustRightInd w:val="0"/>
                    <w:snapToGrid w:val="0"/>
                    <w:jc w:val="center"/>
                    <w:rPr>
                      <w:u w:val="single"/>
                    </w:rPr>
                  </w:pPr>
                  <w:r>
                    <w:rPr>
                      <w:rFonts w:hint="eastAsia"/>
                      <w:u w:val="single"/>
                    </w:rPr>
                    <w:t>6</w:t>
                  </w:r>
                </w:p>
              </w:tc>
              <w:tc>
                <w:tcPr>
                  <w:tcW w:w="1272" w:type="dxa"/>
                  <w:shd w:val="clear" w:color="auto" w:fill="auto"/>
                  <w:noWrap/>
                  <w:vAlign w:val="center"/>
                </w:tcPr>
                <w:p>
                  <w:pPr>
                    <w:adjustRightInd w:val="0"/>
                    <w:snapToGrid w:val="0"/>
                    <w:jc w:val="center"/>
                    <w:rPr>
                      <w:rFonts w:ascii="宋体" w:hAnsi="宋体" w:cs="宋体"/>
                      <w:u w:val="single"/>
                    </w:rPr>
                  </w:pPr>
                  <w:r>
                    <w:rPr>
                      <w:rFonts w:hint="eastAsia" w:ascii="宋体" w:hAnsi="宋体" w:cs="宋体"/>
                      <w:u w:val="single"/>
                    </w:rPr>
                    <w:t>废机油</w:t>
                  </w:r>
                </w:p>
              </w:tc>
              <w:tc>
                <w:tcPr>
                  <w:tcW w:w="963" w:type="dxa"/>
                  <w:shd w:val="clear" w:color="auto" w:fill="auto"/>
                  <w:noWrap/>
                  <w:vAlign w:val="center"/>
                </w:tcPr>
                <w:p>
                  <w:pPr>
                    <w:adjustRightInd w:val="0"/>
                    <w:snapToGrid w:val="0"/>
                    <w:jc w:val="center"/>
                    <w:rPr>
                      <w:u w:val="single"/>
                    </w:rPr>
                  </w:pPr>
                  <w:r>
                    <w:rPr>
                      <w:u w:val="single"/>
                    </w:rPr>
                    <w:t>t</w:t>
                  </w:r>
                </w:p>
              </w:tc>
              <w:tc>
                <w:tcPr>
                  <w:tcW w:w="1100" w:type="dxa"/>
                  <w:shd w:val="clear" w:color="auto" w:fill="auto"/>
                  <w:noWrap/>
                  <w:vAlign w:val="center"/>
                </w:tcPr>
                <w:p>
                  <w:pPr>
                    <w:adjustRightInd w:val="0"/>
                    <w:snapToGrid w:val="0"/>
                    <w:jc w:val="center"/>
                    <w:rPr>
                      <w:u w:val="single"/>
                    </w:rPr>
                  </w:pPr>
                  <w:r>
                    <w:rPr>
                      <w:rFonts w:hint="eastAsia"/>
                      <w:u w:val="single"/>
                    </w:rPr>
                    <w:t>500</w:t>
                  </w:r>
                  <w:r>
                    <w:rPr>
                      <w:u w:val="single"/>
                    </w:rPr>
                    <w:t>t/a</w:t>
                  </w:r>
                </w:p>
              </w:tc>
              <w:tc>
                <w:tcPr>
                  <w:tcW w:w="3991" w:type="dxa"/>
                  <w:shd w:val="clear" w:color="auto" w:fill="auto"/>
                  <w:noWrap/>
                  <w:vAlign w:val="center"/>
                </w:tcPr>
                <w:p>
                  <w:pPr>
                    <w:adjustRightInd w:val="0"/>
                    <w:snapToGrid w:val="0"/>
                    <w:jc w:val="center"/>
                    <w:rPr>
                      <w:u w:val="single"/>
                    </w:rPr>
                  </w:pPr>
                  <w:r>
                    <w:rPr>
                      <w:rFonts w:cs="Times New Roman"/>
                      <w:spacing w:val="-6"/>
                      <w:szCs w:val="21"/>
                      <w:u w:val="single"/>
                    </w:rPr>
                    <w:t>最大存储量10t/次</w:t>
                  </w:r>
                  <w:r>
                    <w:rPr>
                      <w:rFonts w:cs="Times New Roman"/>
                      <w:spacing w:val="-11"/>
                      <w:szCs w:val="21"/>
                      <w:u w:val="single"/>
                    </w:rPr>
                    <w:t>（</w:t>
                  </w:r>
                  <w:r>
                    <w:rPr>
                      <w:rFonts w:hint="eastAsia" w:cs="Times New Roman"/>
                      <w:spacing w:val="-11"/>
                      <w:szCs w:val="21"/>
                      <w:u w:val="single"/>
                    </w:rPr>
                    <w:t>7</w:t>
                  </w:r>
                  <w:r>
                    <w:rPr>
                      <w:rFonts w:cs="Times New Roman"/>
                      <w:spacing w:val="-11"/>
                      <w:szCs w:val="21"/>
                      <w:u w:val="single"/>
                    </w:rPr>
                    <w:t>天周转一次），</w:t>
                  </w:r>
                  <w:r>
                    <w:rPr>
                      <w:rFonts w:cs="Times New Roman"/>
                      <w:spacing w:val="-6"/>
                      <w:szCs w:val="21"/>
                      <w:u w:val="single"/>
                    </w:rPr>
                    <w:t>存储</w:t>
                  </w:r>
                  <w:r>
                    <w:rPr>
                      <w:rFonts w:hint="eastAsia" w:hAnsi="Times New Roman" w:cs="Times New Roman"/>
                      <w:szCs w:val="21"/>
                      <w:u w:val="single"/>
                    </w:rPr>
                    <w:t>位置</w:t>
                  </w:r>
                  <w:r>
                    <w:rPr>
                      <w:rFonts w:cs="Times New Roman"/>
                      <w:spacing w:val="-11"/>
                      <w:szCs w:val="21"/>
                      <w:u w:val="single"/>
                    </w:rPr>
                    <w:t>为废机油储罐，来源为汽车维修厂、4S店等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7" w:hRule="atLeast"/>
              </w:trPr>
              <w:tc>
                <w:tcPr>
                  <w:tcW w:w="728" w:type="dxa"/>
                  <w:shd w:val="clear" w:color="auto" w:fill="auto"/>
                  <w:noWrap/>
                  <w:vAlign w:val="center"/>
                </w:tcPr>
                <w:p>
                  <w:pPr>
                    <w:adjustRightInd w:val="0"/>
                    <w:snapToGrid w:val="0"/>
                    <w:jc w:val="center"/>
                    <w:rPr>
                      <w:u w:val="single"/>
                    </w:rPr>
                  </w:pPr>
                  <w:r>
                    <w:rPr>
                      <w:rFonts w:hint="eastAsia"/>
                      <w:u w:val="single"/>
                    </w:rPr>
                    <w:t>7</w:t>
                  </w:r>
                </w:p>
              </w:tc>
              <w:tc>
                <w:tcPr>
                  <w:tcW w:w="1272" w:type="dxa"/>
                  <w:shd w:val="clear" w:color="auto" w:fill="auto"/>
                  <w:noWrap/>
                  <w:vAlign w:val="center"/>
                </w:tcPr>
                <w:p>
                  <w:pPr>
                    <w:adjustRightInd w:val="0"/>
                    <w:snapToGrid w:val="0"/>
                    <w:jc w:val="center"/>
                    <w:rPr>
                      <w:rFonts w:ascii="宋体" w:hAnsi="宋体" w:cs="宋体"/>
                      <w:u w:val="single"/>
                    </w:rPr>
                  </w:pPr>
                  <w:r>
                    <w:rPr>
                      <w:rFonts w:hint="eastAsia" w:ascii="宋体" w:hAnsi="宋体" w:cs="宋体"/>
                      <w:u w:val="single"/>
                    </w:rPr>
                    <w:t>活性炭</w:t>
                  </w:r>
                </w:p>
              </w:tc>
              <w:tc>
                <w:tcPr>
                  <w:tcW w:w="963" w:type="dxa"/>
                  <w:shd w:val="clear" w:color="auto" w:fill="auto"/>
                  <w:noWrap/>
                  <w:vAlign w:val="center"/>
                </w:tcPr>
                <w:p>
                  <w:pPr>
                    <w:adjustRightInd w:val="0"/>
                    <w:snapToGrid w:val="0"/>
                    <w:jc w:val="center"/>
                    <w:rPr>
                      <w:u w:val="single"/>
                    </w:rPr>
                  </w:pPr>
                  <w:r>
                    <w:rPr>
                      <w:rFonts w:hint="eastAsia"/>
                      <w:u w:val="single"/>
                    </w:rPr>
                    <w:t>t</w:t>
                  </w:r>
                </w:p>
              </w:tc>
              <w:tc>
                <w:tcPr>
                  <w:tcW w:w="1100" w:type="dxa"/>
                  <w:shd w:val="clear" w:color="auto" w:fill="auto"/>
                  <w:noWrap/>
                  <w:vAlign w:val="center"/>
                </w:tcPr>
                <w:p>
                  <w:pPr>
                    <w:adjustRightInd w:val="0"/>
                    <w:snapToGrid w:val="0"/>
                    <w:jc w:val="center"/>
                    <w:rPr>
                      <w:u w:val="single"/>
                    </w:rPr>
                  </w:pPr>
                  <w:r>
                    <w:rPr>
                      <w:rFonts w:hint="eastAsia"/>
                      <w:u w:val="single"/>
                    </w:rPr>
                    <w:t>0.06</w:t>
                  </w:r>
                </w:p>
              </w:tc>
              <w:tc>
                <w:tcPr>
                  <w:tcW w:w="3991" w:type="dxa"/>
                  <w:shd w:val="clear" w:color="auto" w:fill="auto"/>
                  <w:noWrap/>
                  <w:vAlign w:val="center"/>
                </w:tcPr>
                <w:p>
                  <w:pPr>
                    <w:adjustRightInd w:val="0"/>
                    <w:snapToGrid w:val="0"/>
                    <w:jc w:val="center"/>
                    <w:rPr>
                      <w:u w:val="single"/>
                    </w:rPr>
                  </w:pPr>
                  <w:r>
                    <w:rPr>
                      <w:rFonts w:hint="eastAsia"/>
                      <w:u w:val="single"/>
                    </w:rPr>
                    <w:t>外购，用于废气治理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8" w:type="dxa"/>
                  <w:shd w:val="clear" w:color="auto" w:fill="auto"/>
                  <w:noWrap/>
                  <w:vAlign w:val="center"/>
                </w:tcPr>
                <w:p>
                  <w:pPr>
                    <w:adjustRightInd w:val="0"/>
                    <w:snapToGrid w:val="0"/>
                    <w:jc w:val="center"/>
                    <w:rPr>
                      <w:u w:val="single"/>
                    </w:rPr>
                  </w:pPr>
                  <w:r>
                    <w:rPr>
                      <w:rFonts w:hint="eastAsia"/>
                      <w:u w:val="single"/>
                    </w:rPr>
                    <w:t>8</w:t>
                  </w:r>
                </w:p>
              </w:tc>
              <w:tc>
                <w:tcPr>
                  <w:tcW w:w="1272" w:type="dxa"/>
                  <w:shd w:val="clear" w:color="auto" w:fill="auto"/>
                  <w:noWrap/>
                  <w:vAlign w:val="center"/>
                </w:tcPr>
                <w:p>
                  <w:pPr>
                    <w:adjustRightInd w:val="0"/>
                    <w:snapToGrid w:val="0"/>
                    <w:jc w:val="center"/>
                    <w:rPr>
                      <w:rFonts w:ascii="宋体" w:hAnsi="宋体" w:cs="宋体"/>
                      <w:u w:val="single"/>
                    </w:rPr>
                  </w:pPr>
                  <w:r>
                    <w:rPr>
                      <w:rFonts w:hint="eastAsia" w:ascii="宋体" w:hAnsi="宋体" w:cs="宋体"/>
                      <w:u w:val="single"/>
                    </w:rPr>
                    <w:t>水源</w:t>
                  </w:r>
                </w:p>
              </w:tc>
              <w:tc>
                <w:tcPr>
                  <w:tcW w:w="963" w:type="dxa"/>
                  <w:shd w:val="clear" w:color="auto" w:fill="auto"/>
                  <w:noWrap/>
                  <w:vAlign w:val="center"/>
                </w:tcPr>
                <w:p>
                  <w:pPr>
                    <w:adjustRightInd w:val="0"/>
                    <w:snapToGrid w:val="0"/>
                    <w:jc w:val="center"/>
                    <w:rPr>
                      <w:u w:val="single"/>
                    </w:rPr>
                  </w:pPr>
                  <w:r>
                    <w:rPr>
                      <w:rFonts w:hint="eastAsia"/>
                      <w:u w:val="single"/>
                    </w:rPr>
                    <w:t>m</w:t>
                  </w:r>
                  <w:r>
                    <w:rPr>
                      <w:rFonts w:hint="eastAsia"/>
                      <w:u w:val="single"/>
                      <w:vertAlign w:val="superscript"/>
                    </w:rPr>
                    <w:t>3</w:t>
                  </w:r>
                </w:p>
              </w:tc>
              <w:tc>
                <w:tcPr>
                  <w:tcW w:w="1100" w:type="dxa"/>
                  <w:shd w:val="clear" w:color="auto" w:fill="auto"/>
                  <w:noWrap/>
                  <w:vAlign w:val="center"/>
                </w:tcPr>
                <w:p>
                  <w:pPr>
                    <w:adjustRightInd w:val="0"/>
                    <w:snapToGrid w:val="0"/>
                    <w:jc w:val="center"/>
                    <w:rPr>
                      <w:u w:val="single"/>
                    </w:rPr>
                  </w:pPr>
                  <w:r>
                    <w:rPr>
                      <w:rFonts w:hint="eastAsia"/>
                      <w:u w:val="single"/>
                    </w:rPr>
                    <w:t>310</w:t>
                  </w:r>
                </w:p>
              </w:tc>
              <w:tc>
                <w:tcPr>
                  <w:tcW w:w="3991" w:type="dxa"/>
                  <w:shd w:val="clear" w:color="auto" w:fill="auto"/>
                  <w:noWrap/>
                  <w:vAlign w:val="center"/>
                </w:tcPr>
                <w:p>
                  <w:pPr>
                    <w:adjustRightInd w:val="0"/>
                    <w:snapToGrid w:val="0"/>
                    <w:jc w:val="center"/>
                    <w:rPr>
                      <w:u w:val="single"/>
                    </w:rPr>
                  </w:pPr>
                  <w:r>
                    <w:rPr>
                      <w:rFonts w:hint="eastAsia"/>
                      <w:u w:val="single"/>
                    </w:rPr>
                    <w:t>生活用水和生产用水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7" w:hRule="atLeast"/>
              </w:trPr>
              <w:tc>
                <w:tcPr>
                  <w:tcW w:w="728" w:type="dxa"/>
                  <w:shd w:val="clear" w:color="auto" w:fill="auto"/>
                  <w:noWrap/>
                  <w:vAlign w:val="center"/>
                </w:tcPr>
                <w:p>
                  <w:pPr>
                    <w:adjustRightInd w:val="0"/>
                    <w:snapToGrid w:val="0"/>
                    <w:jc w:val="center"/>
                    <w:rPr>
                      <w:u w:val="single"/>
                    </w:rPr>
                  </w:pPr>
                  <w:r>
                    <w:rPr>
                      <w:rFonts w:hint="eastAsia"/>
                      <w:u w:val="single"/>
                    </w:rPr>
                    <w:t>9</w:t>
                  </w:r>
                </w:p>
              </w:tc>
              <w:tc>
                <w:tcPr>
                  <w:tcW w:w="1272" w:type="dxa"/>
                  <w:shd w:val="clear" w:color="auto" w:fill="auto"/>
                  <w:noWrap/>
                  <w:vAlign w:val="center"/>
                </w:tcPr>
                <w:p>
                  <w:pPr>
                    <w:adjustRightInd w:val="0"/>
                    <w:snapToGrid w:val="0"/>
                    <w:jc w:val="center"/>
                    <w:rPr>
                      <w:rFonts w:ascii="宋体" w:hAnsi="宋体" w:cs="宋体"/>
                      <w:u w:val="single"/>
                    </w:rPr>
                  </w:pPr>
                  <w:r>
                    <w:rPr>
                      <w:rFonts w:hint="eastAsia" w:ascii="宋体" w:hAnsi="宋体" w:cs="宋体"/>
                      <w:u w:val="single"/>
                    </w:rPr>
                    <w:t>电源</w:t>
                  </w:r>
                </w:p>
              </w:tc>
              <w:tc>
                <w:tcPr>
                  <w:tcW w:w="963" w:type="dxa"/>
                  <w:shd w:val="clear" w:color="auto" w:fill="auto"/>
                  <w:noWrap/>
                  <w:vAlign w:val="center"/>
                </w:tcPr>
                <w:p>
                  <w:pPr>
                    <w:adjustRightInd w:val="0"/>
                    <w:snapToGrid w:val="0"/>
                    <w:jc w:val="center"/>
                    <w:rPr>
                      <w:u w:val="single"/>
                    </w:rPr>
                  </w:pPr>
                  <w:r>
                    <w:rPr>
                      <w:rFonts w:hint="eastAsia"/>
                      <w:u w:val="single"/>
                    </w:rPr>
                    <w:t>kW·h</w:t>
                  </w:r>
                </w:p>
              </w:tc>
              <w:tc>
                <w:tcPr>
                  <w:tcW w:w="1100" w:type="dxa"/>
                  <w:shd w:val="clear" w:color="auto" w:fill="auto"/>
                  <w:noWrap/>
                  <w:vAlign w:val="center"/>
                </w:tcPr>
                <w:p>
                  <w:pPr>
                    <w:adjustRightInd w:val="0"/>
                    <w:snapToGrid w:val="0"/>
                    <w:jc w:val="center"/>
                    <w:rPr>
                      <w:u w:val="single"/>
                    </w:rPr>
                  </w:pPr>
                  <w:r>
                    <w:rPr>
                      <w:rFonts w:hint="eastAsia"/>
                      <w:u w:val="single"/>
                    </w:rPr>
                    <w:t>30000</w:t>
                  </w:r>
                </w:p>
              </w:tc>
              <w:tc>
                <w:tcPr>
                  <w:tcW w:w="3991" w:type="dxa"/>
                  <w:shd w:val="clear" w:color="auto" w:fill="auto"/>
                  <w:noWrap/>
                  <w:vAlign w:val="center"/>
                </w:tcPr>
                <w:p>
                  <w:pPr>
                    <w:adjustRightInd w:val="0"/>
                    <w:snapToGrid w:val="0"/>
                    <w:jc w:val="center"/>
                    <w:rPr>
                      <w:u w:val="single"/>
                    </w:rPr>
                  </w:pPr>
                  <w:r>
                    <w:rPr>
                      <w:rFonts w:hint="eastAsia"/>
                      <w:u w:val="single"/>
                    </w:rPr>
                    <w:t>生产用电</w:t>
                  </w:r>
                </w:p>
              </w:tc>
            </w:tr>
          </w:tbl>
          <w:p>
            <w:pPr>
              <w:adjustRightInd w:val="0"/>
              <w:snapToGrid w:val="0"/>
              <w:ind w:firstLine="480" w:firstLineChars="200"/>
              <w:rPr>
                <w:color w:val="FF0000"/>
                <w:sz w:val="24"/>
              </w:rPr>
            </w:pPr>
          </w:p>
          <w:p>
            <w:pPr>
              <w:adjustRightInd w:val="0"/>
              <w:snapToGrid w:val="0"/>
              <w:spacing w:line="360" w:lineRule="auto"/>
              <w:ind w:firstLine="482" w:firstLineChars="200"/>
              <w:rPr>
                <w:b/>
                <w:bCs/>
                <w:sz w:val="24"/>
              </w:rPr>
            </w:pPr>
            <w:r>
              <w:rPr>
                <w:rFonts w:hint="eastAsia"/>
                <w:b/>
                <w:bCs/>
                <w:sz w:val="24"/>
              </w:rPr>
              <w:t>（3）拆解物</w:t>
            </w:r>
          </w:p>
          <w:p>
            <w:pPr>
              <w:adjustRightInd w:val="0"/>
              <w:snapToGrid w:val="0"/>
              <w:spacing w:line="360" w:lineRule="auto"/>
              <w:ind w:firstLine="480" w:firstLineChars="200"/>
              <w:rPr>
                <w:rFonts w:ascii="宋体" w:hAnsi="宋体"/>
                <w:bCs/>
                <w:sz w:val="24"/>
              </w:rPr>
            </w:pPr>
            <w:r>
              <w:rPr>
                <w:rFonts w:hint="eastAsia"/>
                <w:sz w:val="24"/>
              </w:rPr>
              <w:t>本项目报废农机拆解物主要包括</w:t>
            </w:r>
            <w:r>
              <w:rPr>
                <w:rFonts w:hint="eastAsia" w:ascii="宋体" w:hAnsi="宋体"/>
                <w:bCs/>
                <w:sz w:val="24"/>
              </w:rPr>
              <w:t>毁形总成、危险废物（危险拆解物）和一般固体拆解物等，各项拆解物及处置去向详见下表：</w:t>
            </w:r>
          </w:p>
          <w:p>
            <w:pPr>
              <w:adjustRightInd w:val="0"/>
              <w:snapToGrid w:val="0"/>
              <w:spacing w:line="360" w:lineRule="auto"/>
              <w:jc w:val="center"/>
              <w:rPr>
                <w:sz w:val="24"/>
              </w:rPr>
            </w:pPr>
            <w:r>
              <w:rPr>
                <w:rFonts w:hint="eastAsia"/>
                <w:b/>
                <w:sz w:val="24"/>
              </w:rPr>
              <w:t>表1</w:t>
            </w:r>
            <w:r>
              <w:rPr>
                <w:rFonts w:hint="eastAsia"/>
                <w:b/>
                <w:sz w:val="24"/>
                <w:lang w:val="en-US" w:eastAsia="zh-CN"/>
              </w:rPr>
              <w:t xml:space="preserve">2 </w:t>
            </w:r>
            <w:r>
              <w:rPr>
                <w:rFonts w:hint="eastAsia"/>
                <w:b/>
                <w:sz w:val="24"/>
              </w:rPr>
              <w:t xml:space="preserve"> 本项目拆解物一览表</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03"/>
              <w:gridCol w:w="977"/>
              <w:gridCol w:w="997"/>
              <w:gridCol w:w="1149"/>
              <w:gridCol w:w="1149"/>
              <w:gridCol w:w="934"/>
              <w:gridCol w:w="939"/>
              <w:gridCol w:w="8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vMerge w:val="restart"/>
                  <w:shd w:val="clear" w:color="auto" w:fill="auto"/>
                  <w:noWrap/>
                  <w:vAlign w:val="center"/>
                </w:tcPr>
                <w:p>
                  <w:pPr>
                    <w:adjustRightInd w:val="0"/>
                    <w:snapToGrid w:val="0"/>
                    <w:jc w:val="center"/>
                    <w:rPr>
                      <w:b/>
                      <w:bCs/>
                    </w:rPr>
                  </w:pPr>
                  <w:r>
                    <w:rPr>
                      <w:rFonts w:hint="eastAsia"/>
                      <w:b/>
                      <w:bCs/>
                    </w:rPr>
                    <w:t>序号</w:t>
                  </w:r>
                </w:p>
              </w:tc>
              <w:tc>
                <w:tcPr>
                  <w:tcW w:w="1580" w:type="dxa"/>
                  <w:gridSpan w:val="2"/>
                  <w:vMerge w:val="restart"/>
                  <w:shd w:val="clear" w:color="auto" w:fill="auto"/>
                  <w:noWrap/>
                  <w:vAlign w:val="center"/>
                </w:tcPr>
                <w:p>
                  <w:pPr>
                    <w:adjustRightInd w:val="0"/>
                    <w:snapToGrid w:val="0"/>
                    <w:jc w:val="center"/>
                    <w:rPr>
                      <w:b/>
                      <w:bCs/>
                    </w:rPr>
                  </w:pPr>
                  <w:r>
                    <w:rPr>
                      <w:rFonts w:hint="eastAsia"/>
                      <w:b/>
                      <w:bCs/>
                    </w:rPr>
                    <w:t>拆解物名称</w:t>
                  </w:r>
                </w:p>
              </w:tc>
              <w:tc>
                <w:tcPr>
                  <w:tcW w:w="5168" w:type="dxa"/>
                  <w:gridSpan w:val="5"/>
                  <w:shd w:val="clear" w:color="auto" w:fill="auto"/>
                  <w:noWrap/>
                  <w:vAlign w:val="center"/>
                </w:tcPr>
                <w:p>
                  <w:pPr>
                    <w:adjustRightInd w:val="0"/>
                    <w:snapToGrid w:val="0"/>
                    <w:jc w:val="center"/>
                    <w:rPr>
                      <w:b/>
                      <w:bCs/>
                    </w:rPr>
                  </w:pPr>
                  <w:r>
                    <w:rPr>
                      <w:rFonts w:hint="eastAsia"/>
                      <w:b/>
                      <w:bCs/>
                    </w:rPr>
                    <w:t>产量（t/a）</w:t>
                  </w:r>
                </w:p>
              </w:tc>
              <w:tc>
                <w:tcPr>
                  <w:tcW w:w="859" w:type="dxa"/>
                  <w:vMerge w:val="restart"/>
                  <w:shd w:val="clear" w:color="auto" w:fill="auto"/>
                  <w:noWrap/>
                  <w:vAlign w:val="center"/>
                </w:tcPr>
                <w:p>
                  <w:pPr>
                    <w:adjustRightInd w:val="0"/>
                    <w:snapToGrid w:val="0"/>
                    <w:jc w:val="center"/>
                  </w:pPr>
                  <w:r>
                    <w:rPr>
                      <w:rFonts w:hint="eastAsia"/>
                      <w:b/>
                      <w:bCs/>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vMerge w:val="continue"/>
                  <w:shd w:val="clear" w:color="auto" w:fill="auto"/>
                  <w:noWrap/>
                  <w:vAlign w:val="center"/>
                </w:tcPr>
                <w:p>
                  <w:pPr>
                    <w:adjustRightInd w:val="0"/>
                    <w:snapToGrid w:val="0"/>
                    <w:jc w:val="center"/>
                    <w:rPr>
                      <w:b/>
                      <w:bCs/>
                    </w:rPr>
                  </w:pPr>
                </w:p>
              </w:tc>
              <w:tc>
                <w:tcPr>
                  <w:tcW w:w="1580" w:type="dxa"/>
                  <w:gridSpan w:val="2"/>
                  <w:vMerge w:val="continue"/>
                  <w:shd w:val="clear" w:color="auto" w:fill="auto"/>
                  <w:noWrap/>
                  <w:vAlign w:val="center"/>
                </w:tcPr>
                <w:p>
                  <w:pPr>
                    <w:adjustRightInd w:val="0"/>
                    <w:snapToGrid w:val="0"/>
                    <w:jc w:val="center"/>
                    <w:rPr>
                      <w:b/>
                      <w:bCs/>
                    </w:rPr>
                  </w:pPr>
                </w:p>
              </w:tc>
              <w:tc>
                <w:tcPr>
                  <w:tcW w:w="997" w:type="dxa"/>
                  <w:shd w:val="clear" w:color="auto" w:fill="auto"/>
                  <w:noWrap/>
                  <w:vAlign w:val="center"/>
                </w:tcPr>
                <w:p>
                  <w:pPr>
                    <w:adjustRightInd w:val="0"/>
                    <w:snapToGrid w:val="0"/>
                    <w:jc w:val="center"/>
                    <w:rPr>
                      <w:b/>
                      <w:bCs/>
                    </w:rPr>
                  </w:pPr>
                  <w:r>
                    <w:rPr>
                      <w:rFonts w:hint="eastAsia"/>
                      <w:b/>
                      <w:bCs/>
                    </w:rPr>
                    <w:t>拖拉机</w:t>
                  </w:r>
                </w:p>
              </w:tc>
              <w:tc>
                <w:tcPr>
                  <w:tcW w:w="1149" w:type="dxa"/>
                  <w:shd w:val="clear" w:color="auto" w:fill="auto"/>
                  <w:noWrap/>
                  <w:vAlign w:val="center"/>
                </w:tcPr>
                <w:p>
                  <w:pPr>
                    <w:adjustRightInd w:val="0"/>
                    <w:snapToGrid w:val="0"/>
                    <w:jc w:val="center"/>
                    <w:rPr>
                      <w:b/>
                      <w:bCs/>
                    </w:rPr>
                  </w:pPr>
                  <w:r>
                    <w:rPr>
                      <w:rFonts w:hint="eastAsia"/>
                      <w:b/>
                      <w:bCs/>
                    </w:rPr>
                    <w:t>玉米</w:t>
                  </w:r>
                </w:p>
                <w:p>
                  <w:pPr>
                    <w:adjustRightInd w:val="0"/>
                    <w:snapToGrid w:val="0"/>
                    <w:jc w:val="center"/>
                    <w:rPr>
                      <w:b/>
                      <w:bCs/>
                    </w:rPr>
                  </w:pPr>
                  <w:r>
                    <w:rPr>
                      <w:rFonts w:hint="eastAsia"/>
                      <w:b/>
                      <w:bCs/>
                    </w:rPr>
                    <w:t>收割机</w:t>
                  </w:r>
                </w:p>
              </w:tc>
              <w:tc>
                <w:tcPr>
                  <w:tcW w:w="1149" w:type="dxa"/>
                  <w:shd w:val="clear" w:color="auto" w:fill="auto"/>
                  <w:noWrap/>
                  <w:vAlign w:val="center"/>
                </w:tcPr>
                <w:p>
                  <w:pPr>
                    <w:adjustRightInd w:val="0"/>
                    <w:snapToGrid w:val="0"/>
                    <w:jc w:val="center"/>
                    <w:rPr>
                      <w:b/>
                      <w:bCs/>
                    </w:rPr>
                  </w:pPr>
                  <w:r>
                    <w:rPr>
                      <w:rFonts w:hint="eastAsia"/>
                      <w:b/>
                      <w:bCs/>
                    </w:rPr>
                    <w:t>水稻</w:t>
                  </w:r>
                </w:p>
                <w:p>
                  <w:pPr>
                    <w:adjustRightInd w:val="0"/>
                    <w:snapToGrid w:val="0"/>
                    <w:jc w:val="center"/>
                    <w:rPr>
                      <w:b/>
                      <w:bCs/>
                    </w:rPr>
                  </w:pPr>
                  <w:r>
                    <w:rPr>
                      <w:rFonts w:hint="eastAsia"/>
                      <w:b/>
                      <w:bCs/>
                    </w:rPr>
                    <w:t>收割机</w:t>
                  </w:r>
                </w:p>
              </w:tc>
              <w:tc>
                <w:tcPr>
                  <w:tcW w:w="934" w:type="dxa"/>
                  <w:shd w:val="clear" w:color="auto" w:fill="auto"/>
                  <w:noWrap/>
                  <w:vAlign w:val="center"/>
                </w:tcPr>
                <w:p>
                  <w:pPr>
                    <w:adjustRightInd w:val="0"/>
                    <w:snapToGrid w:val="0"/>
                    <w:jc w:val="center"/>
                    <w:rPr>
                      <w:b/>
                      <w:bCs/>
                    </w:rPr>
                  </w:pPr>
                  <w:r>
                    <w:rPr>
                      <w:rFonts w:hint="eastAsia"/>
                      <w:b/>
                      <w:bCs/>
                    </w:rPr>
                    <w:t>玉米</w:t>
                  </w:r>
                </w:p>
                <w:p>
                  <w:pPr>
                    <w:adjustRightInd w:val="0"/>
                    <w:snapToGrid w:val="0"/>
                    <w:jc w:val="center"/>
                    <w:rPr>
                      <w:b/>
                      <w:bCs/>
                    </w:rPr>
                  </w:pPr>
                  <w:r>
                    <w:rPr>
                      <w:rFonts w:hint="eastAsia"/>
                      <w:b/>
                      <w:bCs/>
                    </w:rPr>
                    <w:t>脱粒机</w:t>
                  </w:r>
                </w:p>
              </w:tc>
              <w:tc>
                <w:tcPr>
                  <w:tcW w:w="939" w:type="dxa"/>
                  <w:shd w:val="clear" w:color="auto" w:fill="auto"/>
                  <w:noWrap/>
                  <w:vAlign w:val="center"/>
                </w:tcPr>
                <w:p>
                  <w:pPr>
                    <w:adjustRightInd w:val="0"/>
                    <w:snapToGrid w:val="0"/>
                    <w:jc w:val="center"/>
                    <w:rPr>
                      <w:b/>
                      <w:bCs/>
                    </w:rPr>
                  </w:pPr>
                  <w:r>
                    <w:rPr>
                      <w:rFonts w:hint="eastAsia"/>
                      <w:b/>
                      <w:bCs/>
                    </w:rPr>
                    <w:t>插秧机</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毁形总成</w:t>
                  </w:r>
                </w:p>
              </w:tc>
              <w:tc>
                <w:tcPr>
                  <w:tcW w:w="997" w:type="dxa"/>
                  <w:shd w:val="clear" w:color="auto" w:fill="auto"/>
                  <w:noWrap/>
                  <w:vAlign w:val="center"/>
                </w:tcPr>
                <w:p>
                  <w:pPr>
                    <w:jc w:val="center"/>
                    <w:rPr>
                      <w:rFonts w:ascii="宋体" w:hAnsi="宋体" w:cs="宋体"/>
                      <w:color w:val="000000"/>
                      <w:kern w:val="0"/>
                      <w:szCs w:val="21"/>
                    </w:rPr>
                  </w:pPr>
                  <w:r>
                    <w:rPr>
                      <w:rFonts w:hint="eastAsia" w:ascii="宋体" w:hAnsi="宋体"/>
                      <w:szCs w:val="21"/>
                    </w:rPr>
                    <w:t>500</w:t>
                  </w:r>
                </w:p>
              </w:tc>
              <w:tc>
                <w:tcPr>
                  <w:tcW w:w="1149" w:type="dxa"/>
                  <w:shd w:val="clear" w:color="auto" w:fill="auto"/>
                  <w:noWrap/>
                  <w:vAlign w:val="center"/>
                </w:tcPr>
                <w:p>
                  <w:pPr>
                    <w:jc w:val="center"/>
                    <w:rPr>
                      <w:rFonts w:ascii="宋体" w:hAnsi="宋体" w:cs="宋体"/>
                      <w:color w:val="000000"/>
                      <w:kern w:val="0"/>
                      <w:szCs w:val="21"/>
                    </w:rPr>
                  </w:pPr>
                  <w:r>
                    <w:rPr>
                      <w:rFonts w:hint="eastAsia" w:ascii="宋体" w:hAnsi="宋体"/>
                      <w:szCs w:val="21"/>
                    </w:rPr>
                    <w:t>400</w:t>
                  </w:r>
                </w:p>
              </w:tc>
              <w:tc>
                <w:tcPr>
                  <w:tcW w:w="1149" w:type="dxa"/>
                  <w:shd w:val="clear" w:color="auto" w:fill="auto"/>
                  <w:noWrap/>
                  <w:vAlign w:val="center"/>
                </w:tcPr>
                <w:p>
                  <w:pPr>
                    <w:jc w:val="center"/>
                    <w:rPr>
                      <w:rFonts w:ascii="宋体" w:hAnsi="宋体" w:cs="宋体"/>
                      <w:color w:val="000000"/>
                      <w:kern w:val="0"/>
                      <w:szCs w:val="21"/>
                    </w:rPr>
                  </w:pPr>
                  <w:r>
                    <w:rPr>
                      <w:rFonts w:hint="eastAsia" w:ascii="宋体" w:hAnsi="宋体"/>
                      <w:szCs w:val="21"/>
                    </w:rPr>
                    <w:t>350</w:t>
                  </w:r>
                </w:p>
              </w:tc>
              <w:tc>
                <w:tcPr>
                  <w:tcW w:w="934" w:type="dxa"/>
                  <w:shd w:val="clear" w:color="auto" w:fill="auto"/>
                  <w:noWrap/>
                  <w:vAlign w:val="center"/>
                </w:tcPr>
                <w:p>
                  <w:pPr>
                    <w:jc w:val="center"/>
                    <w:rPr>
                      <w:rFonts w:ascii="宋体" w:hAnsi="宋体" w:cs="宋体"/>
                      <w:color w:val="000000"/>
                      <w:kern w:val="0"/>
                      <w:szCs w:val="21"/>
                    </w:rPr>
                  </w:pPr>
                  <w:r>
                    <w:rPr>
                      <w:rFonts w:hint="eastAsia" w:ascii="宋体" w:hAnsi="宋体"/>
                      <w:szCs w:val="21"/>
                    </w:rPr>
                    <w:t>380</w:t>
                  </w:r>
                </w:p>
              </w:tc>
              <w:tc>
                <w:tcPr>
                  <w:tcW w:w="939" w:type="dxa"/>
                  <w:shd w:val="clear" w:color="auto" w:fill="auto"/>
                  <w:noWrap/>
                  <w:vAlign w:val="center"/>
                </w:tcPr>
                <w:p>
                  <w:pPr>
                    <w:jc w:val="center"/>
                    <w:rPr>
                      <w:rFonts w:ascii="宋体" w:hAnsi="宋体" w:cs="宋体"/>
                      <w:color w:val="000000"/>
                      <w:kern w:val="0"/>
                      <w:szCs w:val="21"/>
                    </w:rPr>
                  </w:pPr>
                  <w:r>
                    <w:rPr>
                      <w:rFonts w:hint="eastAsia" w:ascii="宋体" w:hAnsi="宋体"/>
                      <w:szCs w:val="21"/>
                    </w:rPr>
                    <w:t>420</w:t>
                  </w:r>
                </w:p>
              </w:tc>
              <w:tc>
                <w:tcPr>
                  <w:tcW w:w="859" w:type="dxa"/>
                  <w:vMerge w:val="restart"/>
                  <w:shd w:val="clear" w:color="auto" w:fill="auto"/>
                  <w:noWrap/>
                  <w:vAlign w:val="center"/>
                </w:tcPr>
                <w:p>
                  <w:pPr>
                    <w:adjustRightInd w:val="0"/>
                    <w:snapToGrid w:val="0"/>
                    <w:jc w:val="center"/>
                  </w:pPr>
                  <w:r>
                    <w:rPr>
                      <w:rFonts w:hint="eastAsia"/>
                    </w:rPr>
                    <w:t>暂存于拆解物仓库，</w:t>
                  </w:r>
                  <w:r>
                    <w:rPr>
                      <w:rFonts w:hint="eastAsia"/>
                      <w:lang w:eastAsia="zh-CN"/>
                    </w:rPr>
                    <w:t>外</w:t>
                  </w:r>
                  <w:r>
                    <w:rPr>
                      <w:rFonts w:hint="eastAsia"/>
                    </w:rPr>
                    <w:t>售与下游回收处理单位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2</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废玻璃</w:t>
                  </w:r>
                </w:p>
              </w:tc>
              <w:tc>
                <w:tcPr>
                  <w:tcW w:w="997"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10</w:t>
                  </w:r>
                  <w:r>
                    <w:rPr>
                      <w:rFonts w:hint="eastAsia" w:ascii="宋体" w:hAnsi="宋体"/>
                      <w:szCs w:val="21"/>
                      <w:lang w:val="en-US" w:eastAsia="zh-CN"/>
                    </w:rPr>
                    <w:t>.5</w:t>
                  </w:r>
                </w:p>
              </w:tc>
              <w:tc>
                <w:tcPr>
                  <w:tcW w:w="114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8</w:t>
                  </w:r>
                  <w:r>
                    <w:rPr>
                      <w:rFonts w:hint="eastAsia" w:ascii="宋体" w:hAnsi="宋体"/>
                      <w:szCs w:val="21"/>
                      <w:lang w:val="en-US" w:eastAsia="zh-CN"/>
                    </w:rPr>
                    <w:t>.9</w:t>
                  </w:r>
                </w:p>
              </w:tc>
              <w:tc>
                <w:tcPr>
                  <w:tcW w:w="114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7</w:t>
                  </w:r>
                  <w:r>
                    <w:rPr>
                      <w:rFonts w:hint="eastAsia" w:ascii="宋体" w:hAnsi="宋体"/>
                      <w:szCs w:val="21"/>
                      <w:lang w:val="en-US" w:eastAsia="zh-CN"/>
                    </w:rPr>
                    <w:t>.6</w:t>
                  </w:r>
                </w:p>
              </w:tc>
              <w:tc>
                <w:tcPr>
                  <w:tcW w:w="934"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7.8</w:t>
                  </w:r>
                </w:p>
              </w:tc>
              <w:tc>
                <w:tcPr>
                  <w:tcW w:w="93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lang w:val="en-US" w:eastAsia="zh-CN"/>
                    </w:rPr>
                    <w:t>7.7</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3</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废</w:t>
                  </w:r>
                  <w:r>
                    <w:rPr>
                      <w:rFonts w:hint="eastAsia" w:ascii="宋体" w:hAnsi="宋体"/>
                      <w:bCs/>
                      <w:iCs/>
                      <w:szCs w:val="21"/>
                    </w:rPr>
                    <w:t>橡胶</w:t>
                  </w:r>
                </w:p>
              </w:tc>
              <w:tc>
                <w:tcPr>
                  <w:tcW w:w="997"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75</w:t>
                  </w:r>
                  <w:r>
                    <w:rPr>
                      <w:rFonts w:hint="eastAsia" w:ascii="宋体" w:hAnsi="宋体"/>
                      <w:szCs w:val="21"/>
                      <w:lang w:val="en-US" w:eastAsia="zh-CN"/>
                    </w:rPr>
                    <w:t>.6</w:t>
                  </w:r>
                </w:p>
              </w:tc>
              <w:tc>
                <w:tcPr>
                  <w:tcW w:w="114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70</w:t>
                  </w:r>
                  <w:r>
                    <w:rPr>
                      <w:rFonts w:hint="eastAsia" w:ascii="宋体" w:hAnsi="宋体"/>
                      <w:szCs w:val="21"/>
                      <w:lang w:val="en-US" w:eastAsia="zh-CN"/>
                    </w:rPr>
                    <w:t>.8</w:t>
                  </w:r>
                </w:p>
              </w:tc>
              <w:tc>
                <w:tcPr>
                  <w:tcW w:w="114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rPr>
                    <w:t>68</w:t>
                  </w:r>
                  <w:r>
                    <w:rPr>
                      <w:rFonts w:hint="eastAsia" w:ascii="宋体" w:hAnsi="宋体"/>
                      <w:szCs w:val="21"/>
                      <w:lang w:val="en-US" w:eastAsia="zh-CN"/>
                    </w:rPr>
                    <w:t>.9</w:t>
                  </w:r>
                </w:p>
              </w:tc>
              <w:tc>
                <w:tcPr>
                  <w:tcW w:w="934"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lang w:val="en-US" w:eastAsia="zh-CN"/>
                    </w:rPr>
                    <w:t>65.6</w:t>
                  </w:r>
                </w:p>
              </w:tc>
              <w:tc>
                <w:tcPr>
                  <w:tcW w:w="939" w:type="dxa"/>
                  <w:shd w:val="clear" w:color="auto" w:fill="auto"/>
                  <w:noWrap/>
                  <w:vAlign w:val="center"/>
                </w:tcPr>
                <w:p>
                  <w:pPr>
                    <w:jc w:val="center"/>
                    <w:rPr>
                      <w:rFonts w:hint="default" w:ascii="宋体" w:hAnsi="宋体" w:cs="宋体" w:eastAsiaTheme="minorEastAsia"/>
                      <w:color w:val="000000"/>
                      <w:kern w:val="0"/>
                      <w:szCs w:val="21"/>
                      <w:lang w:val="en-US" w:eastAsia="zh-CN"/>
                    </w:rPr>
                  </w:pPr>
                  <w:r>
                    <w:rPr>
                      <w:rFonts w:hint="eastAsia" w:ascii="宋体" w:hAnsi="宋体"/>
                      <w:szCs w:val="21"/>
                      <w:lang w:val="en-US" w:eastAsia="zh-CN"/>
                    </w:rPr>
                    <w:t>63.8</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4</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钢铁</w:t>
                  </w:r>
                </w:p>
              </w:tc>
              <w:tc>
                <w:tcPr>
                  <w:tcW w:w="997" w:type="dxa"/>
                  <w:shd w:val="clear" w:color="auto" w:fill="auto"/>
                  <w:noWrap/>
                  <w:vAlign w:val="center"/>
                </w:tcPr>
                <w:p>
                  <w:pPr>
                    <w:jc w:val="center"/>
                    <w:rPr>
                      <w:rFonts w:ascii="宋体" w:hAnsi="宋体" w:cs="宋体"/>
                      <w:szCs w:val="21"/>
                    </w:rPr>
                  </w:pPr>
                  <w:r>
                    <w:rPr>
                      <w:rFonts w:hint="eastAsia" w:ascii="宋体" w:hAnsi="宋体"/>
                      <w:szCs w:val="21"/>
                    </w:rPr>
                    <w:t>1244.2</w:t>
                  </w:r>
                </w:p>
              </w:tc>
              <w:tc>
                <w:tcPr>
                  <w:tcW w:w="1149" w:type="dxa"/>
                  <w:shd w:val="clear" w:color="auto" w:fill="auto"/>
                  <w:noWrap/>
                  <w:vAlign w:val="center"/>
                </w:tcPr>
                <w:p>
                  <w:pPr>
                    <w:jc w:val="center"/>
                    <w:rPr>
                      <w:rFonts w:ascii="宋体" w:hAnsi="宋体" w:cs="宋体"/>
                      <w:szCs w:val="21"/>
                    </w:rPr>
                  </w:pPr>
                  <w:r>
                    <w:rPr>
                      <w:rFonts w:hint="eastAsia" w:ascii="宋体" w:hAnsi="宋体" w:cs="宋体"/>
                      <w:szCs w:val="21"/>
                    </w:rPr>
                    <w:t>1102.4</w:t>
                  </w:r>
                </w:p>
              </w:tc>
              <w:tc>
                <w:tcPr>
                  <w:tcW w:w="1149" w:type="dxa"/>
                  <w:shd w:val="clear" w:color="auto" w:fill="auto"/>
                  <w:noWrap/>
                  <w:vAlign w:val="center"/>
                </w:tcPr>
                <w:p>
                  <w:pPr>
                    <w:jc w:val="center"/>
                    <w:rPr>
                      <w:rFonts w:ascii="宋体" w:hAnsi="宋体" w:cs="宋体"/>
                      <w:szCs w:val="21"/>
                    </w:rPr>
                  </w:pPr>
                  <w:r>
                    <w:rPr>
                      <w:rFonts w:hint="eastAsia" w:ascii="宋体" w:hAnsi="宋体" w:cs="宋体"/>
                      <w:szCs w:val="21"/>
                    </w:rPr>
                    <w:t>1080.3</w:t>
                  </w:r>
                </w:p>
              </w:tc>
              <w:tc>
                <w:tcPr>
                  <w:tcW w:w="934" w:type="dxa"/>
                  <w:shd w:val="clear" w:color="auto" w:fill="auto"/>
                  <w:noWrap/>
                  <w:vAlign w:val="center"/>
                </w:tcPr>
                <w:p>
                  <w:pPr>
                    <w:jc w:val="center"/>
                    <w:rPr>
                      <w:rFonts w:ascii="宋体" w:hAnsi="宋体" w:cs="宋体"/>
                      <w:szCs w:val="21"/>
                    </w:rPr>
                  </w:pPr>
                  <w:r>
                    <w:rPr>
                      <w:rFonts w:hint="eastAsia" w:ascii="宋体" w:hAnsi="宋体" w:cs="宋体"/>
                      <w:szCs w:val="21"/>
                    </w:rPr>
                    <w:t>1050.6</w:t>
                  </w:r>
                </w:p>
              </w:tc>
              <w:tc>
                <w:tcPr>
                  <w:tcW w:w="939" w:type="dxa"/>
                  <w:shd w:val="clear" w:color="auto" w:fill="auto"/>
                  <w:noWrap/>
                  <w:vAlign w:val="center"/>
                </w:tcPr>
                <w:p>
                  <w:pPr>
                    <w:jc w:val="center"/>
                    <w:rPr>
                      <w:rFonts w:ascii="宋体" w:hAnsi="宋体" w:cs="宋体"/>
                      <w:szCs w:val="21"/>
                    </w:rPr>
                  </w:pPr>
                  <w:r>
                    <w:rPr>
                      <w:rFonts w:hint="eastAsia" w:ascii="宋体" w:hAnsi="宋体" w:cs="宋体"/>
                      <w:szCs w:val="21"/>
                    </w:rPr>
                    <w:t>1032.5</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5</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零部件</w:t>
                  </w:r>
                </w:p>
              </w:tc>
              <w:tc>
                <w:tcPr>
                  <w:tcW w:w="99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val="en-US" w:eastAsia="zh-CN"/>
                    </w:rPr>
                    <w:t>2.5</w:t>
                  </w:r>
                </w:p>
              </w:tc>
              <w:tc>
                <w:tcPr>
                  <w:tcW w:w="1149"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30.3</w:t>
                  </w:r>
                </w:p>
              </w:tc>
              <w:tc>
                <w:tcPr>
                  <w:tcW w:w="114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29.8</w:t>
                  </w:r>
                </w:p>
              </w:tc>
              <w:tc>
                <w:tcPr>
                  <w:tcW w:w="934"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27.6</w:t>
                  </w:r>
                </w:p>
              </w:tc>
              <w:tc>
                <w:tcPr>
                  <w:tcW w:w="93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28.6</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6</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有色金属</w:t>
                  </w:r>
                </w:p>
              </w:tc>
              <w:tc>
                <w:tcPr>
                  <w:tcW w:w="997"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w:t>
                  </w:r>
                  <w:r>
                    <w:rPr>
                      <w:rFonts w:hint="eastAsia" w:ascii="宋体" w:hAnsi="宋体" w:cs="宋体"/>
                      <w:color w:val="000000"/>
                      <w:kern w:val="0"/>
                      <w:szCs w:val="21"/>
                      <w:lang w:val="en-US" w:eastAsia="zh-CN"/>
                    </w:rPr>
                    <w:t>.5</w:t>
                  </w:r>
                </w:p>
              </w:tc>
              <w:tc>
                <w:tcPr>
                  <w:tcW w:w="114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20.3</w:t>
                  </w:r>
                </w:p>
              </w:tc>
              <w:tc>
                <w:tcPr>
                  <w:tcW w:w="114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20.2</w:t>
                  </w:r>
                </w:p>
              </w:tc>
              <w:tc>
                <w:tcPr>
                  <w:tcW w:w="934"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20.6</w:t>
                  </w:r>
                </w:p>
              </w:tc>
              <w:tc>
                <w:tcPr>
                  <w:tcW w:w="939"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20.7</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7</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废塑料</w:t>
                  </w:r>
                </w:p>
              </w:tc>
              <w:tc>
                <w:tcPr>
                  <w:tcW w:w="99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10.6</w:t>
                  </w:r>
                </w:p>
              </w:tc>
              <w:tc>
                <w:tcPr>
                  <w:tcW w:w="1149" w:type="dxa"/>
                  <w:shd w:val="clear" w:color="auto" w:fill="auto"/>
                  <w:noWrap/>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0.5</w:t>
                  </w:r>
                </w:p>
              </w:tc>
              <w:tc>
                <w:tcPr>
                  <w:tcW w:w="1149" w:type="dxa"/>
                  <w:shd w:val="clear" w:color="auto" w:fill="auto"/>
                  <w:noWrap/>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0.3</w:t>
                  </w:r>
                </w:p>
              </w:tc>
              <w:tc>
                <w:tcPr>
                  <w:tcW w:w="934" w:type="dxa"/>
                  <w:shd w:val="clear" w:color="auto" w:fill="auto"/>
                  <w:noWrap/>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0.6</w:t>
                  </w:r>
                </w:p>
              </w:tc>
              <w:tc>
                <w:tcPr>
                  <w:tcW w:w="93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10.3</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9" w:hRule="atLeast"/>
              </w:trPr>
              <w:tc>
                <w:tcPr>
                  <w:tcW w:w="447" w:type="dxa"/>
                  <w:shd w:val="clear" w:color="auto" w:fill="auto"/>
                  <w:noWrap/>
                  <w:vAlign w:val="center"/>
                </w:tcPr>
                <w:p>
                  <w:pPr>
                    <w:adjustRightInd w:val="0"/>
                    <w:snapToGrid w:val="0"/>
                    <w:jc w:val="center"/>
                  </w:pPr>
                  <w:r>
                    <w:rPr>
                      <w:rFonts w:hint="eastAsia"/>
                    </w:rPr>
                    <w:t>8</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纤维</w:t>
                  </w:r>
                  <w:r>
                    <w:rPr>
                      <w:rFonts w:hint="eastAsia" w:ascii="宋体" w:hAnsi="宋体"/>
                      <w:bCs/>
                      <w:iCs/>
                      <w:szCs w:val="21"/>
                    </w:rPr>
                    <w:t>、</w:t>
                  </w:r>
                  <w:r>
                    <w:rPr>
                      <w:rFonts w:ascii="宋体" w:hAnsi="宋体"/>
                      <w:bCs/>
                      <w:iCs/>
                      <w:szCs w:val="21"/>
                    </w:rPr>
                    <w:t>皮革</w:t>
                  </w:r>
                </w:p>
              </w:tc>
              <w:tc>
                <w:tcPr>
                  <w:tcW w:w="997"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2.5</w:t>
                  </w:r>
                </w:p>
              </w:tc>
              <w:tc>
                <w:tcPr>
                  <w:tcW w:w="1149" w:type="dxa"/>
                  <w:shd w:val="clear" w:color="auto" w:fill="auto"/>
                  <w:noWrap/>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2.7</w:t>
                  </w:r>
                </w:p>
              </w:tc>
              <w:tc>
                <w:tcPr>
                  <w:tcW w:w="1149" w:type="dxa"/>
                  <w:shd w:val="clear" w:color="auto" w:fill="auto"/>
                  <w:noWrap/>
                  <w:vAlign w:val="center"/>
                </w:tcPr>
                <w:p>
                  <w:pPr>
                    <w:widowControl/>
                    <w:jc w:val="center"/>
                    <w:rPr>
                      <w:rFonts w:hint="default" w:ascii="宋体" w:hAnsi="宋体" w:cs="宋体"/>
                      <w:color w:val="000000"/>
                      <w:kern w:val="0"/>
                      <w:szCs w:val="21"/>
                      <w:lang w:val="en-US"/>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1.3</w:t>
                  </w:r>
                </w:p>
              </w:tc>
              <w:tc>
                <w:tcPr>
                  <w:tcW w:w="93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1.5</w:t>
                  </w:r>
                </w:p>
              </w:tc>
              <w:tc>
                <w:tcPr>
                  <w:tcW w:w="939" w:type="dxa"/>
                  <w:shd w:val="clear" w:color="auto" w:fill="auto"/>
                  <w:noWrap/>
                  <w:vAlign w:val="center"/>
                </w:tcPr>
                <w:p>
                  <w:pPr>
                    <w:widowControl/>
                    <w:jc w:val="center"/>
                    <w:rPr>
                      <w:rFonts w:hint="default" w:ascii="宋体" w:hAnsi="宋体" w:cs="宋体"/>
                      <w:color w:val="000000"/>
                      <w:kern w:val="0"/>
                      <w:szCs w:val="21"/>
                      <w:lang w:val="en-US"/>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2.2</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9</w:t>
                  </w:r>
                </w:p>
              </w:tc>
              <w:tc>
                <w:tcPr>
                  <w:tcW w:w="1580" w:type="dxa"/>
                  <w:gridSpan w:val="2"/>
                  <w:shd w:val="clear" w:color="auto" w:fill="auto"/>
                  <w:noWrap/>
                  <w:vAlign w:val="center"/>
                </w:tcPr>
                <w:p>
                  <w:pPr>
                    <w:jc w:val="center"/>
                    <w:rPr>
                      <w:rFonts w:hint="default" w:ascii="宋体" w:hAnsi="宋体" w:eastAsiaTheme="minorEastAsia"/>
                      <w:bCs/>
                      <w:iCs/>
                      <w:color w:val="FF0000"/>
                      <w:szCs w:val="21"/>
                      <w:lang w:val="en-US" w:eastAsia="zh-CN"/>
                    </w:rPr>
                  </w:pPr>
                  <w:r>
                    <w:rPr>
                      <w:rFonts w:ascii="宋体" w:hAnsi="宋体"/>
                      <w:bCs/>
                      <w:iCs/>
                      <w:szCs w:val="21"/>
                    </w:rPr>
                    <w:t>废</w:t>
                  </w:r>
                  <w:r>
                    <w:rPr>
                      <w:rFonts w:hint="eastAsia" w:ascii="宋体" w:hAnsi="宋体"/>
                      <w:bCs/>
                      <w:iCs/>
                      <w:szCs w:val="21"/>
                      <w:lang w:eastAsia="zh-CN"/>
                    </w:rPr>
                    <w:t>铅蓄</w:t>
                  </w:r>
                  <w:r>
                    <w:rPr>
                      <w:rFonts w:ascii="宋体" w:hAnsi="宋体"/>
                      <w:bCs/>
                      <w:iCs/>
                      <w:szCs w:val="21"/>
                    </w:rPr>
                    <w:t>电池</w:t>
                  </w:r>
                </w:p>
              </w:tc>
              <w:tc>
                <w:tcPr>
                  <w:tcW w:w="997"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20</w:t>
                  </w:r>
                </w:p>
              </w:tc>
              <w:tc>
                <w:tcPr>
                  <w:tcW w:w="1149"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20</w:t>
                  </w:r>
                </w:p>
              </w:tc>
              <w:tc>
                <w:tcPr>
                  <w:tcW w:w="1149"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20</w:t>
                  </w:r>
                </w:p>
              </w:tc>
              <w:tc>
                <w:tcPr>
                  <w:tcW w:w="934"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20</w:t>
                  </w:r>
                </w:p>
              </w:tc>
              <w:tc>
                <w:tcPr>
                  <w:tcW w:w="939"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20</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10</w:t>
                  </w:r>
                </w:p>
              </w:tc>
              <w:tc>
                <w:tcPr>
                  <w:tcW w:w="603" w:type="dxa"/>
                  <w:vMerge w:val="restart"/>
                  <w:shd w:val="clear" w:color="auto" w:fill="auto"/>
                  <w:noWrap/>
                  <w:vAlign w:val="center"/>
                </w:tcPr>
                <w:p>
                  <w:pPr>
                    <w:jc w:val="center"/>
                    <w:rPr>
                      <w:rFonts w:ascii="宋体" w:hAnsi="宋体"/>
                      <w:bCs/>
                      <w:iCs/>
                      <w:szCs w:val="21"/>
                    </w:rPr>
                  </w:pPr>
                  <w:r>
                    <w:rPr>
                      <w:rFonts w:ascii="宋体" w:hAnsi="宋体"/>
                      <w:bCs/>
                      <w:iCs/>
                      <w:szCs w:val="21"/>
                    </w:rPr>
                    <w:t>废油液</w:t>
                  </w:r>
                </w:p>
              </w:tc>
              <w:tc>
                <w:tcPr>
                  <w:tcW w:w="977" w:type="dxa"/>
                  <w:shd w:val="clear" w:color="auto" w:fill="auto"/>
                  <w:noWrap/>
                  <w:vAlign w:val="center"/>
                </w:tcPr>
                <w:p>
                  <w:pPr>
                    <w:jc w:val="center"/>
                    <w:rPr>
                      <w:rFonts w:ascii="宋体" w:hAnsi="宋体"/>
                      <w:bCs/>
                      <w:iCs/>
                      <w:szCs w:val="21"/>
                    </w:rPr>
                  </w:pPr>
                  <w:r>
                    <w:rPr>
                      <w:rFonts w:ascii="宋体" w:hAnsi="宋体"/>
                      <w:bCs/>
                      <w:iCs/>
                      <w:szCs w:val="21"/>
                    </w:rPr>
                    <w:t>废机油</w:t>
                  </w:r>
                </w:p>
              </w:tc>
              <w:tc>
                <w:tcPr>
                  <w:tcW w:w="997"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5</w:t>
                  </w:r>
                  <w:r>
                    <w:rPr>
                      <w:rFonts w:hint="eastAsia" w:ascii="宋体" w:hAnsi="宋体"/>
                      <w:szCs w:val="21"/>
                      <w:lang w:val="en-US" w:eastAsia="zh-CN"/>
                    </w:rPr>
                    <w:t>.0</w:t>
                  </w:r>
                </w:p>
              </w:tc>
              <w:tc>
                <w:tcPr>
                  <w:tcW w:w="114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5</w:t>
                  </w:r>
                  <w:r>
                    <w:rPr>
                      <w:rFonts w:hint="eastAsia" w:ascii="宋体" w:hAnsi="宋体"/>
                      <w:szCs w:val="21"/>
                      <w:lang w:val="en-US" w:eastAsia="zh-CN"/>
                    </w:rPr>
                    <w:t>.0</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5</w:t>
                  </w:r>
                  <w:r>
                    <w:rPr>
                      <w:rFonts w:hint="eastAsia" w:ascii="宋体" w:hAnsi="宋体"/>
                      <w:szCs w:val="21"/>
                      <w:lang w:val="en-US" w:eastAsia="zh-CN"/>
                    </w:rPr>
                    <w:t>.0</w:t>
                  </w:r>
                </w:p>
              </w:tc>
              <w:tc>
                <w:tcPr>
                  <w:tcW w:w="934" w:type="dxa"/>
                  <w:shd w:val="clear" w:color="auto" w:fill="auto"/>
                  <w:noWrap/>
                  <w:vAlign w:val="center"/>
                </w:tcPr>
                <w:p>
                  <w:pPr>
                    <w:jc w:val="center"/>
                    <w:rPr>
                      <w:rFonts w:ascii="宋体" w:hAnsi="宋体" w:cs="宋体"/>
                      <w:szCs w:val="21"/>
                    </w:rPr>
                  </w:pPr>
                  <w:r>
                    <w:rPr>
                      <w:rFonts w:hint="eastAsia" w:ascii="宋体" w:hAnsi="宋体"/>
                      <w:szCs w:val="21"/>
                    </w:rPr>
                    <w:t>5</w:t>
                  </w:r>
                  <w:r>
                    <w:rPr>
                      <w:rFonts w:hint="eastAsia" w:ascii="宋体" w:hAnsi="宋体"/>
                      <w:szCs w:val="21"/>
                      <w:lang w:val="en-US" w:eastAsia="zh-CN"/>
                    </w:rPr>
                    <w:t>.0</w:t>
                  </w:r>
                </w:p>
              </w:tc>
              <w:tc>
                <w:tcPr>
                  <w:tcW w:w="939" w:type="dxa"/>
                  <w:shd w:val="clear" w:color="auto" w:fill="auto"/>
                  <w:noWrap/>
                  <w:vAlign w:val="center"/>
                </w:tcPr>
                <w:p>
                  <w:pPr>
                    <w:jc w:val="center"/>
                    <w:rPr>
                      <w:rFonts w:ascii="宋体" w:hAnsi="宋体" w:cs="宋体"/>
                      <w:szCs w:val="21"/>
                    </w:rPr>
                  </w:pPr>
                  <w:r>
                    <w:rPr>
                      <w:rFonts w:hint="eastAsia" w:ascii="宋体" w:hAnsi="宋体"/>
                      <w:szCs w:val="21"/>
                    </w:rPr>
                    <w:t>5</w:t>
                  </w:r>
                  <w:r>
                    <w:rPr>
                      <w:rFonts w:hint="eastAsia" w:ascii="宋体" w:hAnsi="宋体"/>
                      <w:szCs w:val="21"/>
                      <w:lang w:val="en-US" w:eastAsia="zh-CN"/>
                    </w:rPr>
                    <w:t>.0</w:t>
                  </w:r>
                </w:p>
              </w:tc>
              <w:tc>
                <w:tcPr>
                  <w:tcW w:w="859" w:type="dxa"/>
                  <w:vMerge w:val="restart"/>
                  <w:shd w:val="clear" w:color="auto" w:fill="auto"/>
                  <w:noWrap/>
                  <w:vAlign w:val="center"/>
                </w:tcPr>
                <w:p>
                  <w:pPr>
                    <w:adjustRightInd w:val="0"/>
                    <w:snapToGrid w:val="0"/>
                    <w:jc w:val="center"/>
                  </w:pPr>
                  <w:r>
                    <w:rPr>
                      <w:rFonts w:hint="eastAsia"/>
                    </w:rPr>
                    <w:t>暂存于危险废物暂存间，定期交有资质单位处理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11</w:t>
                  </w:r>
                </w:p>
              </w:tc>
              <w:tc>
                <w:tcPr>
                  <w:tcW w:w="603" w:type="dxa"/>
                  <w:vMerge w:val="continue"/>
                  <w:shd w:val="clear" w:color="auto" w:fill="auto"/>
                  <w:noWrap/>
                  <w:vAlign w:val="center"/>
                </w:tcPr>
                <w:p>
                  <w:pPr>
                    <w:jc w:val="center"/>
                    <w:rPr>
                      <w:rFonts w:ascii="宋体" w:hAnsi="宋体"/>
                      <w:bCs/>
                      <w:iCs/>
                      <w:szCs w:val="21"/>
                    </w:rPr>
                  </w:pPr>
                </w:p>
              </w:tc>
              <w:tc>
                <w:tcPr>
                  <w:tcW w:w="977" w:type="dxa"/>
                  <w:shd w:val="clear" w:color="auto" w:fill="auto"/>
                  <w:noWrap/>
                  <w:vAlign w:val="center"/>
                </w:tcPr>
                <w:p>
                  <w:pPr>
                    <w:jc w:val="center"/>
                    <w:rPr>
                      <w:rFonts w:ascii="宋体" w:hAnsi="宋体" w:eastAsiaTheme="minorEastAsia"/>
                      <w:bCs/>
                      <w:iCs/>
                      <w:spacing w:val="-11"/>
                      <w:sz w:val="21"/>
                      <w:szCs w:val="21"/>
                    </w:rPr>
                  </w:pPr>
                  <w:r>
                    <w:rPr>
                      <w:rFonts w:ascii="宋体" w:hAnsi="宋体" w:eastAsiaTheme="minorEastAsia"/>
                      <w:bCs/>
                      <w:iCs/>
                      <w:spacing w:val="-11"/>
                      <w:sz w:val="21"/>
                      <w:szCs w:val="21"/>
                    </w:rPr>
                    <w:t>剩余</w:t>
                  </w:r>
                  <w:r>
                    <w:rPr>
                      <w:rFonts w:hint="eastAsia" w:ascii="宋体" w:hAnsi="宋体" w:eastAsiaTheme="minorEastAsia"/>
                      <w:bCs/>
                      <w:iCs/>
                      <w:spacing w:val="-11"/>
                      <w:sz w:val="21"/>
                      <w:szCs w:val="21"/>
                    </w:rPr>
                    <w:t>柴</w:t>
                  </w:r>
                  <w:r>
                    <w:rPr>
                      <w:rFonts w:ascii="宋体" w:hAnsi="宋体" w:eastAsiaTheme="minorEastAsia"/>
                      <w:bCs/>
                      <w:iCs/>
                      <w:spacing w:val="-11"/>
                      <w:sz w:val="21"/>
                      <w:szCs w:val="21"/>
                    </w:rPr>
                    <w:t>油</w:t>
                  </w:r>
                </w:p>
              </w:tc>
              <w:tc>
                <w:tcPr>
                  <w:tcW w:w="997"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934"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93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12</w:t>
                  </w:r>
                </w:p>
              </w:tc>
              <w:tc>
                <w:tcPr>
                  <w:tcW w:w="603" w:type="dxa"/>
                  <w:vMerge w:val="continue"/>
                  <w:shd w:val="clear" w:color="auto" w:fill="auto"/>
                  <w:noWrap/>
                  <w:vAlign w:val="center"/>
                </w:tcPr>
                <w:p>
                  <w:pPr>
                    <w:jc w:val="center"/>
                    <w:rPr>
                      <w:rFonts w:ascii="宋体" w:hAnsi="宋体"/>
                      <w:bCs/>
                      <w:iCs/>
                      <w:szCs w:val="21"/>
                    </w:rPr>
                  </w:pPr>
                </w:p>
              </w:tc>
              <w:tc>
                <w:tcPr>
                  <w:tcW w:w="977" w:type="dxa"/>
                  <w:shd w:val="clear" w:color="auto" w:fill="auto"/>
                  <w:noWrap/>
                  <w:vAlign w:val="center"/>
                </w:tcPr>
                <w:p>
                  <w:pPr>
                    <w:jc w:val="center"/>
                    <w:rPr>
                      <w:rFonts w:ascii="宋体" w:hAnsi="宋体" w:eastAsiaTheme="minorEastAsia"/>
                      <w:bCs/>
                      <w:iCs/>
                      <w:spacing w:val="-11"/>
                      <w:sz w:val="21"/>
                      <w:szCs w:val="21"/>
                    </w:rPr>
                  </w:pPr>
                  <w:r>
                    <w:rPr>
                      <w:rFonts w:hint="eastAsia" w:ascii="宋体" w:hAnsi="宋体" w:eastAsiaTheme="minorEastAsia"/>
                      <w:bCs/>
                      <w:iCs/>
                      <w:spacing w:val="-11"/>
                      <w:sz w:val="21"/>
                      <w:szCs w:val="21"/>
                    </w:rPr>
                    <w:t>废防冻剂</w:t>
                  </w:r>
                </w:p>
              </w:tc>
              <w:tc>
                <w:tcPr>
                  <w:tcW w:w="997" w:type="dxa"/>
                  <w:shd w:val="clear" w:color="auto" w:fill="auto"/>
                  <w:noWrap/>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szCs w:val="21"/>
                    </w:rPr>
                    <w:t>1.</w:t>
                  </w:r>
                  <w:r>
                    <w:rPr>
                      <w:rFonts w:hint="eastAsia" w:ascii="宋体" w:hAnsi="宋体"/>
                      <w:szCs w:val="21"/>
                      <w:lang w:val="en-US" w:eastAsia="zh-CN"/>
                    </w:rPr>
                    <w:t>1</w:t>
                  </w:r>
                </w:p>
              </w:tc>
              <w:tc>
                <w:tcPr>
                  <w:tcW w:w="1149"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szCs w:val="21"/>
                      <w:lang w:val="en-US" w:eastAsia="zh-CN"/>
                    </w:rPr>
                    <w:t>1.1</w:t>
                  </w:r>
                </w:p>
              </w:tc>
              <w:tc>
                <w:tcPr>
                  <w:tcW w:w="1149"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1.1</w:t>
                  </w:r>
                </w:p>
              </w:tc>
              <w:tc>
                <w:tcPr>
                  <w:tcW w:w="934"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szCs w:val="21"/>
                      <w:lang w:val="en-US" w:eastAsia="zh-CN"/>
                    </w:rPr>
                    <w:t>1.1</w:t>
                  </w:r>
                </w:p>
              </w:tc>
              <w:tc>
                <w:tcPr>
                  <w:tcW w:w="939"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szCs w:val="21"/>
                      <w:lang w:val="en-US" w:eastAsia="zh-CN"/>
                    </w:rPr>
                    <w:t>1.1</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13</w:t>
                  </w:r>
                </w:p>
              </w:tc>
              <w:tc>
                <w:tcPr>
                  <w:tcW w:w="603" w:type="dxa"/>
                  <w:vMerge w:val="continue"/>
                  <w:shd w:val="clear" w:color="auto" w:fill="auto"/>
                  <w:noWrap/>
                  <w:vAlign w:val="center"/>
                </w:tcPr>
                <w:p>
                  <w:pPr>
                    <w:jc w:val="center"/>
                    <w:rPr>
                      <w:rFonts w:ascii="宋体" w:hAnsi="宋体"/>
                      <w:bCs/>
                      <w:iCs/>
                      <w:szCs w:val="21"/>
                    </w:rPr>
                  </w:pPr>
                </w:p>
              </w:tc>
              <w:tc>
                <w:tcPr>
                  <w:tcW w:w="977" w:type="dxa"/>
                  <w:shd w:val="clear" w:color="auto" w:fill="auto"/>
                  <w:noWrap/>
                  <w:vAlign w:val="center"/>
                </w:tcPr>
                <w:p>
                  <w:pPr>
                    <w:jc w:val="center"/>
                    <w:rPr>
                      <w:rFonts w:ascii="宋体" w:hAnsi="宋体"/>
                      <w:bCs/>
                      <w:iCs/>
                      <w:szCs w:val="21"/>
                    </w:rPr>
                  </w:pPr>
                  <w:r>
                    <w:rPr>
                      <w:rFonts w:ascii="宋体" w:hAnsi="宋体"/>
                      <w:bCs/>
                      <w:iCs/>
                      <w:szCs w:val="21"/>
                    </w:rPr>
                    <w:t>制动液</w:t>
                  </w:r>
                </w:p>
              </w:tc>
              <w:tc>
                <w:tcPr>
                  <w:tcW w:w="997"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3.8</w:t>
                  </w:r>
                </w:p>
              </w:tc>
              <w:tc>
                <w:tcPr>
                  <w:tcW w:w="1149" w:type="dxa"/>
                  <w:shd w:val="clear" w:color="auto" w:fill="auto"/>
                  <w:noWrap/>
                  <w:vAlign w:val="center"/>
                </w:tcPr>
                <w:p>
                  <w:pPr>
                    <w:jc w:val="center"/>
                    <w:rPr>
                      <w:rFonts w:hint="default" w:ascii="宋体" w:hAnsi="宋体" w:cs="宋体"/>
                      <w:szCs w:val="21"/>
                      <w:lang w:val="en-US"/>
                    </w:rPr>
                  </w:pPr>
                  <w:r>
                    <w:rPr>
                      <w:rFonts w:hint="eastAsia" w:ascii="宋体" w:hAnsi="宋体"/>
                      <w:szCs w:val="21"/>
                      <w:lang w:val="en-US" w:eastAsia="zh-CN"/>
                    </w:rPr>
                    <w:t>3.8</w:t>
                  </w:r>
                </w:p>
              </w:tc>
              <w:tc>
                <w:tcPr>
                  <w:tcW w:w="1149"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Cs w:val="21"/>
                      <w:lang w:val="en-US" w:eastAsia="zh-CN"/>
                    </w:rPr>
                    <w:t>3.8</w:t>
                  </w:r>
                </w:p>
              </w:tc>
              <w:tc>
                <w:tcPr>
                  <w:tcW w:w="934" w:type="dxa"/>
                  <w:shd w:val="clear" w:color="auto" w:fill="auto"/>
                  <w:noWrap/>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szCs w:val="21"/>
                      <w:lang w:val="en-US" w:eastAsia="zh-CN"/>
                    </w:rPr>
                    <w:t>3.8</w:t>
                  </w:r>
                </w:p>
              </w:tc>
              <w:tc>
                <w:tcPr>
                  <w:tcW w:w="939" w:type="dxa"/>
                  <w:shd w:val="clear" w:color="auto" w:fill="auto"/>
                  <w:noWrap/>
                  <w:vAlign w:val="center"/>
                </w:tcPr>
                <w:p>
                  <w:pPr>
                    <w:jc w:val="center"/>
                    <w:rPr>
                      <w:rFonts w:hint="default" w:ascii="宋体" w:hAnsi="宋体"/>
                      <w:szCs w:val="21"/>
                      <w:lang w:val="en-US"/>
                    </w:rPr>
                  </w:pPr>
                  <w:r>
                    <w:rPr>
                      <w:rFonts w:hint="eastAsia" w:ascii="宋体" w:hAnsi="宋体"/>
                      <w:szCs w:val="21"/>
                      <w:lang w:val="en-US" w:eastAsia="zh-CN"/>
                    </w:rPr>
                    <w:t>3.8</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14</w:t>
                  </w:r>
                </w:p>
              </w:tc>
              <w:tc>
                <w:tcPr>
                  <w:tcW w:w="1580" w:type="dxa"/>
                  <w:gridSpan w:val="2"/>
                  <w:shd w:val="clear" w:color="auto" w:fill="auto"/>
                  <w:noWrap/>
                  <w:vAlign w:val="center"/>
                </w:tcPr>
                <w:p>
                  <w:pPr>
                    <w:jc w:val="center"/>
                    <w:rPr>
                      <w:rFonts w:ascii="宋体" w:hAnsi="宋体" w:eastAsiaTheme="minorEastAsia"/>
                      <w:bCs/>
                      <w:iCs/>
                      <w:spacing w:val="-11"/>
                      <w:sz w:val="21"/>
                      <w:szCs w:val="21"/>
                    </w:rPr>
                  </w:pPr>
                  <w:r>
                    <w:rPr>
                      <w:rFonts w:ascii="宋体" w:hAnsi="宋体" w:eastAsiaTheme="minorEastAsia"/>
                      <w:bCs/>
                      <w:iCs/>
                      <w:spacing w:val="-11"/>
                      <w:sz w:val="21"/>
                      <w:szCs w:val="21"/>
                    </w:rPr>
                    <w:t>废尾气净化装置</w:t>
                  </w:r>
                </w:p>
              </w:tc>
              <w:tc>
                <w:tcPr>
                  <w:tcW w:w="997" w:type="dxa"/>
                  <w:shd w:val="clear" w:color="auto" w:fill="auto"/>
                  <w:noWrap/>
                  <w:vAlign w:val="center"/>
                </w:tcPr>
                <w:p>
                  <w:pPr>
                    <w:jc w:val="center"/>
                    <w:rPr>
                      <w:rFonts w:hint="eastAsia" w:ascii="宋体" w:hAnsi="宋体" w:cs="宋体" w:eastAsiaTheme="minorEastAsia"/>
                      <w:szCs w:val="21"/>
                      <w:lang w:eastAsia="zh-CN"/>
                    </w:rPr>
                  </w:pPr>
                  <w:r>
                    <w:rPr>
                      <w:rFonts w:hint="eastAsia" w:ascii="宋体" w:hAnsi="宋体"/>
                      <w:szCs w:val="21"/>
                    </w:rPr>
                    <w:t>1.</w:t>
                  </w:r>
                  <w:r>
                    <w:rPr>
                      <w:rFonts w:hint="eastAsia" w:ascii="宋体" w:hAnsi="宋体"/>
                      <w:szCs w:val="21"/>
                      <w:lang w:val="en-US" w:eastAsia="zh-CN"/>
                    </w:rPr>
                    <w:t>1</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934"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93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1</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15</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废机油滤清器</w:t>
                  </w:r>
                </w:p>
              </w:tc>
              <w:tc>
                <w:tcPr>
                  <w:tcW w:w="997"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7</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7</w:t>
                  </w:r>
                </w:p>
              </w:tc>
              <w:tc>
                <w:tcPr>
                  <w:tcW w:w="114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7</w:t>
                  </w:r>
                </w:p>
              </w:tc>
              <w:tc>
                <w:tcPr>
                  <w:tcW w:w="934"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7</w:t>
                  </w:r>
                </w:p>
              </w:tc>
              <w:tc>
                <w:tcPr>
                  <w:tcW w:w="939" w:type="dxa"/>
                  <w:shd w:val="clear" w:color="auto" w:fill="auto"/>
                  <w:noWrap/>
                  <w:vAlign w:val="center"/>
                </w:tcPr>
                <w:p>
                  <w:pPr>
                    <w:jc w:val="center"/>
                    <w:rPr>
                      <w:rFonts w:ascii="宋体" w:hAnsi="宋体" w:cs="宋体"/>
                      <w:szCs w:val="21"/>
                    </w:rPr>
                  </w:pPr>
                  <w:r>
                    <w:rPr>
                      <w:rFonts w:hint="eastAsia" w:ascii="宋体" w:hAnsi="宋体"/>
                      <w:szCs w:val="21"/>
                    </w:rPr>
                    <w:t>1.</w:t>
                  </w:r>
                  <w:r>
                    <w:rPr>
                      <w:rFonts w:hint="eastAsia" w:ascii="宋体" w:hAnsi="宋体"/>
                      <w:szCs w:val="21"/>
                      <w:lang w:val="en-US" w:eastAsia="zh-CN"/>
                    </w:rPr>
                    <w:t>7</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16</w:t>
                  </w:r>
                </w:p>
              </w:tc>
              <w:tc>
                <w:tcPr>
                  <w:tcW w:w="1580"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Cs/>
                      <w:iCs/>
                      <w:szCs w:val="21"/>
                    </w:rPr>
                  </w:pPr>
                  <w:r>
                    <w:rPr>
                      <w:rFonts w:ascii="宋体" w:hAnsi="宋体"/>
                      <w:bCs/>
                      <w:iCs/>
                      <w:szCs w:val="21"/>
                    </w:rPr>
                    <w:t>废含汞开关</w:t>
                  </w:r>
                  <w:r>
                    <w:rPr>
                      <w:rFonts w:hint="eastAsia" w:ascii="宋体" w:hAnsi="宋体"/>
                      <w:bCs/>
                      <w:iCs/>
                      <w:szCs w:val="21"/>
                    </w:rPr>
                    <w:t>、</w:t>
                  </w:r>
                  <w:r>
                    <w:rPr>
                      <w:rFonts w:ascii="宋体" w:hAnsi="宋体"/>
                      <w:bCs/>
                      <w:iCs/>
                      <w:szCs w:val="21"/>
                    </w:rPr>
                    <w:t>电路板</w:t>
                  </w:r>
                </w:p>
              </w:tc>
              <w:tc>
                <w:tcPr>
                  <w:tcW w:w="997"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.5</w:t>
                  </w:r>
                </w:p>
              </w:tc>
              <w:tc>
                <w:tcPr>
                  <w:tcW w:w="114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.5</w:t>
                  </w:r>
                </w:p>
              </w:tc>
              <w:tc>
                <w:tcPr>
                  <w:tcW w:w="114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.5</w:t>
                  </w:r>
                </w:p>
              </w:tc>
              <w:tc>
                <w:tcPr>
                  <w:tcW w:w="934"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.5</w:t>
                  </w:r>
                </w:p>
              </w:tc>
              <w:tc>
                <w:tcPr>
                  <w:tcW w:w="93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.5</w:t>
                  </w:r>
                </w:p>
              </w:tc>
              <w:tc>
                <w:tcPr>
                  <w:tcW w:w="859" w:type="dxa"/>
                  <w:vMerge w:val="continue"/>
                  <w:shd w:val="clear" w:color="auto" w:fill="auto"/>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7" w:type="dxa"/>
                  <w:shd w:val="clear" w:color="auto" w:fill="auto"/>
                  <w:noWrap/>
                  <w:vAlign w:val="center"/>
                </w:tcPr>
                <w:p>
                  <w:pPr>
                    <w:adjustRightInd w:val="0"/>
                    <w:snapToGrid w:val="0"/>
                    <w:jc w:val="center"/>
                  </w:pPr>
                  <w:r>
                    <w:rPr>
                      <w:rFonts w:hint="eastAsia"/>
                    </w:rPr>
                    <w:t>17</w:t>
                  </w:r>
                </w:p>
              </w:tc>
              <w:tc>
                <w:tcPr>
                  <w:tcW w:w="1580" w:type="dxa"/>
                  <w:gridSpan w:val="2"/>
                  <w:shd w:val="clear" w:color="auto" w:fill="auto"/>
                  <w:noWrap/>
                  <w:vAlign w:val="center"/>
                </w:tcPr>
                <w:p>
                  <w:pPr>
                    <w:jc w:val="center"/>
                    <w:rPr>
                      <w:rFonts w:ascii="宋体" w:hAnsi="宋体"/>
                      <w:bCs/>
                      <w:iCs/>
                      <w:szCs w:val="21"/>
                    </w:rPr>
                  </w:pPr>
                  <w:r>
                    <w:rPr>
                      <w:rFonts w:ascii="宋体" w:hAnsi="宋体"/>
                      <w:bCs/>
                      <w:iCs/>
                      <w:szCs w:val="21"/>
                    </w:rPr>
                    <w:t>电容器</w:t>
                  </w:r>
                </w:p>
              </w:tc>
              <w:tc>
                <w:tcPr>
                  <w:tcW w:w="997"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.3</w:t>
                  </w:r>
                </w:p>
              </w:tc>
              <w:tc>
                <w:tcPr>
                  <w:tcW w:w="114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.3</w:t>
                  </w:r>
                </w:p>
              </w:tc>
              <w:tc>
                <w:tcPr>
                  <w:tcW w:w="114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.3</w:t>
                  </w:r>
                </w:p>
              </w:tc>
              <w:tc>
                <w:tcPr>
                  <w:tcW w:w="934"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.3</w:t>
                  </w:r>
                </w:p>
              </w:tc>
              <w:tc>
                <w:tcPr>
                  <w:tcW w:w="939" w:type="dxa"/>
                  <w:shd w:val="clear" w:color="auto" w:fill="auto"/>
                  <w:noWrap/>
                  <w:vAlign w:val="center"/>
                </w:tcPr>
                <w:p>
                  <w:pPr>
                    <w:jc w:val="center"/>
                    <w:rPr>
                      <w:rFonts w:hint="default" w:ascii="宋体" w:hAnsi="宋体" w:cs="宋体" w:eastAsiaTheme="minorEastAsia"/>
                      <w:szCs w:val="21"/>
                      <w:lang w:val="en-US" w:eastAsia="zh-CN"/>
                    </w:rPr>
                  </w:pPr>
                  <w:r>
                    <w:rPr>
                      <w:rFonts w:hint="eastAsia" w:ascii="宋体" w:hAnsi="宋体"/>
                      <w:szCs w:val="21"/>
                    </w:rPr>
                    <w:t>1</w:t>
                  </w:r>
                  <w:r>
                    <w:rPr>
                      <w:rFonts w:hint="eastAsia" w:ascii="宋体" w:hAnsi="宋体"/>
                      <w:szCs w:val="21"/>
                      <w:lang w:val="en-US" w:eastAsia="zh-CN"/>
                    </w:rPr>
                    <w:t>.3</w:t>
                  </w:r>
                </w:p>
              </w:tc>
              <w:tc>
                <w:tcPr>
                  <w:tcW w:w="859" w:type="dxa"/>
                  <w:vMerge w:val="continue"/>
                  <w:shd w:val="clear" w:color="auto" w:fill="auto"/>
                  <w:noWrap/>
                  <w:vAlign w:val="center"/>
                </w:tcPr>
                <w:p>
                  <w:pPr>
                    <w:adjustRightInd w:val="0"/>
                    <w:snapToGrid w:val="0"/>
                    <w:jc w:val="center"/>
                  </w:pPr>
                </w:p>
              </w:tc>
            </w:tr>
          </w:tbl>
          <w:p>
            <w:pPr>
              <w:adjustRightInd w:val="0"/>
              <w:snapToGrid w:val="0"/>
              <w:spacing w:line="360" w:lineRule="auto"/>
              <w:ind w:firstLine="482" w:firstLineChars="200"/>
              <w:rPr>
                <w:b/>
                <w:sz w:val="24"/>
              </w:rPr>
            </w:pPr>
            <w:r>
              <w:rPr>
                <w:rFonts w:hint="eastAsia"/>
                <w:b/>
                <w:sz w:val="24"/>
              </w:rPr>
              <w:t>4、主要建构筑物</w:t>
            </w:r>
          </w:p>
          <w:p>
            <w:pPr>
              <w:adjustRightInd w:val="0"/>
              <w:snapToGrid w:val="0"/>
              <w:spacing w:line="360" w:lineRule="auto"/>
              <w:ind w:firstLine="480" w:firstLineChars="200"/>
              <w:rPr>
                <w:rFonts w:hint="eastAsia"/>
                <w:sz w:val="24"/>
              </w:rPr>
            </w:pPr>
            <w:r>
              <w:rPr>
                <w:rFonts w:hint="eastAsia"/>
                <w:sz w:val="24"/>
              </w:rPr>
              <w:t>本项目主要建构筑物详见下表：</w:t>
            </w:r>
            <w:bookmarkStart w:id="1" w:name="_Toc66446076"/>
            <w:bookmarkStart w:id="2" w:name="_Toc66462145"/>
            <w:bookmarkStart w:id="3" w:name="_Toc29177"/>
          </w:p>
          <w:p>
            <w:pPr>
              <w:pStyle w:val="101"/>
              <w:spacing w:line="360" w:lineRule="auto"/>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3</w:t>
            </w:r>
            <w:r>
              <w:rPr>
                <w:rFonts w:hint="eastAsia" w:ascii="宋体" w:hAnsi="宋体"/>
                <w:b/>
                <w:sz w:val="24"/>
                <w:szCs w:val="24"/>
              </w:rPr>
              <w:t xml:space="preserve">   本项目主要建构筑物规模一览表</w:t>
            </w:r>
            <w:bookmarkEnd w:id="1"/>
            <w:bookmarkEnd w:id="2"/>
            <w:bookmarkEnd w:id="3"/>
          </w:p>
          <w:tbl>
            <w:tblPr>
              <w:tblStyle w:val="25"/>
              <w:tblW w:w="82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38"/>
              <w:gridCol w:w="1796"/>
              <w:gridCol w:w="1039"/>
              <w:gridCol w:w="41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blHeader/>
              </w:trPr>
              <w:tc>
                <w:tcPr>
                  <w:tcW w:w="671" w:type="dxa"/>
                  <w:noWrap/>
                  <w:vAlign w:val="center"/>
                </w:tcPr>
                <w:p>
                  <w:pPr>
                    <w:adjustRightInd w:val="0"/>
                    <w:snapToGrid w:val="0"/>
                    <w:jc w:val="center"/>
                    <w:rPr>
                      <w:rFonts w:ascii="宋体" w:hAnsi="宋体" w:cs="宋体"/>
                      <w:b/>
                      <w:bCs/>
                      <w:szCs w:val="21"/>
                    </w:rPr>
                  </w:pPr>
                  <w:r>
                    <w:rPr>
                      <w:rFonts w:hint="eastAsia" w:ascii="宋体" w:hAnsi="宋体" w:cs="宋体"/>
                      <w:b/>
                      <w:bCs/>
                      <w:szCs w:val="21"/>
                    </w:rPr>
                    <w:t>编号</w:t>
                  </w:r>
                </w:p>
              </w:tc>
              <w:tc>
                <w:tcPr>
                  <w:tcW w:w="2434" w:type="dxa"/>
                  <w:gridSpan w:val="2"/>
                  <w:noWrap/>
                  <w:vAlign w:val="center"/>
                </w:tcPr>
                <w:p>
                  <w:pPr>
                    <w:adjustRightInd w:val="0"/>
                    <w:snapToGrid w:val="0"/>
                    <w:jc w:val="center"/>
                    <w:rPr>
                      <w:rFonts w:ascii="宋体" w:hAnsi="宋体" w:cs="宋体"/>
                      <w:b/>
                      <w:bCs/>
                      <w:szCs w:val="21"/>
                    </w:rPr>
                  </w:pPr>
                  <w:r>
                    <w:rPr>
                      <w:rFonts w:hint="eastAsia" w:ascii="宋体" w:hAnsi="宋体" w:cs="宋体"/>
                      <w:b/>
                      <w:bCs/>
                      <w:szCs w:val="21"/>
                    </w:rPr>
                    <w:t>名称</w:t>
                  </w:r>
                </w:p>
              </w:tc>
              <w:tc>
                <w:tcPr>
                  <w:tcW w:w="1039" w:type="dxa"/>
                  <w:noWrap/>
                  <w:vAlign w:val="center"/>
                </w:tcPr>
                <w:p>
                  <w:pPr>
                    <w:adjustRightInd w:val="0"/>
                    <w:snapToGrid w:val="0"/>
                    <w:jc w:val="center"/>
                    <w:rPr>
                      <w:rFonts w:ascii="宋体" w:hAnsi="宋体" w:cs="宋体"/>
                      <w:b/>
                      <w:bCs/>
                      <w:szCs w:val="21"/>
                    </w:rPr>
                  </w:pPr>
                  <w:r>
                    <w:rPr>
                      <w:rFonts w:hint="eastAsia" w:ascii="宋体" w:hAnsi="宋体" w:cs="宋体"/>
                      <w:b/>
                      <w:bCs/>
                      <w:szCs w:val="21"/>
                    </w:rPr>
                    <w:t>建筑</w:t>
                  </w:r>
                </w:p>
                <w:p>
                  <w:pPr>
                    <w:adjustRightInd w:val="0"/>
                    <w:snapToGrid w:val="0"/>
                    <w:jc w:val="center"/>
                    <w:rPr>
                      <w:rFonts w:ascii="宋体" w:hAnsi="宋体" w:cs="宋体"/>
                      <w:b/>
                      <w:bCs/>
                      <w:szCs w:val="21"/>
                    </w:rPr>
                  </w:pPr>
                  <w:r>
                    <w:rPr>
                      <w:rFonts w:hint="eastAsia" w:ascii="宋体" w:hAnsi="宋体" w:cs="宋体"/>
                      <w:b/>
                      <w:bCs/>
                      <w:szCs w:val="21"/>
                    </w:rPr>
                    <w:t>面积</w:t>
                  </w:r>
                </w:p>
              </w:tc>
              <w:tc>
                <w:tcPr>
                  <w:tcW w:w="4111" w:type="dxa"/>
                  <w:noWrap/>
                  <w:vAlign w:val="center"/>
                </w:tcPr>
                <w:p>
                  <w:pPr>
                    <w:adjustRightInd w:val="0"/>
                    <w:snapToGrid w:val="0"/>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1</w:t>
                  </w:r>
                </w:p>
              </w:tc>
              <w:tc>
                <w:tcPr>
                  <w:tcW w:w="638" w:type="dxa"/>
                  <w:vMerge w:val="restart"/>
                  <w:noWrap/>
                  <w:vAlign w:val="center"/>
                </w:tcPr>
                <w:p>
                  <w:pPr>
                    <w:spacing w:line="240" w:lineRule="exact"/>
                    <w:jc w:val="center"/>
                    <w:rPr>
                      <w:rFonts w:ascii="宋体" w:hAnsi="宋体" w:cs="宋体"/>
                      <w:szCs w:val="21"/>
                    </w:rPr>
                  </w:pPr>
                  <w:r>
                    <w:rPr>
                      <w:rFonts w:hint="eastAsia" w:ascii="宋体" w:hAnsi="宋体" w:cs="宋体"/>
                      <w:szCs w:val="21"/>
                    </w:rPr>
                    <w:t>租用现成厂房</w:t>
                  </w:r>
                </w:p>
              </w:tc>
              <w:tc>
                <w:tcPr>
                  <w:tcW w:w="1796" w:type="dxa"/>
                  <w:noWrap/>
                  <w:vAlign w:val="center"/>
                </w:tcPr>
                <w:p>
                  <w:pPr>
                    <w:jc w:val="center"/>
                    <w:rPr>
                      <w:rFonts w:ascii="宋体" w:hAnsi="宋体" w:cs="宋体"/>
                      <w:szCs w:val="21"/>
                    </w:rPr>
                  </w:pPr>
                  <w:r>
                    <w:rPr>
                      <w:rFonts w:hint="eastAsia" w:ascii="宋体" w:hAnsi="宋体" w:cs="宋体"/>
                      <w:szCs w:val="21"/>
                    </w:rPr>
                    <w:t>拆解车间</w:t>
                  </w:r>
                </w:p>
              </w:tc>
              <w:tc>
                <w:tcPr>
                  <w:tcW w:w="1039" w:type="dxa"/>
                  <w:noWrap/>
                  <w:vAlign w:val="center"/>
                </w:tcPr>
                <w:p>
                  <w:pPr>
                    <w:jc w:val="center"/>
                    <w:rPr>
                      <w:rFonts w:ascii="宋体" w:hAnsi="宋体" w:cs="宋体"/>
                      <w:szCs w:val="21"/>
                    </w:rPr>
                  </w:pPr>
                  <w:r>
                    <w:rPr>
                      <w:rFonts w:hint="eastAsia" w:ascii="宋体" w:hAnsi="宋体" w:cs="宋体"/>
                      <w:szCs w:val="21"/>
                    </w:rPr>
                    <w:t>675m</w:t>
                  </w:r>
                  <w:r>
                    <w:rPr>
                      <w:rFonts w:hint="eastAsia" w:ascii="宋体" w:hAnsi="宋体" w:cs="宋体"/>
                      <w:szCs w:val="21"/>
                      <w:vertAlign w:val="superscript"/>
                    </w:rPr>
                    <w:t>2</w:t>
                  </w:r>
                </w:p>
              </w:tc>
              <w:tc>
                <w:tcPr>
                  <w:tcW w:w="4111" w:type="dxa"/>
                  <w:noWrap/>
                  <w:vAlign w:val="center"/>
                </w:tcPr>
                <w:p>
                  <w:pPr>
                    <w:jc w:val="center"/>
                    <w:rPr>
                      <w:rFonts w:ascii="宋体" w:hAnsi="宋体" w:cs="宋体"/>
                      <w:szCs w:val="21"/>
                    </w:rPr>
                  </w:pPr>
                  <w:r>
                    <w:rPr>
                      <w:rFonts w:hint="eastAsia" w:ascii="宋体" w:hAnsi="宋体" w:cs="宋体"/>
                      <w:szCs w:val="21"/>
                    </w:rPr>
                    <w:t>单层建筑，用于农机预处理和解体拆解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2</w:t>
                  </w:r>
                </w:p>
              </w:tc>
              <w:tc>
                <w:tcPr>
                  <w:tcW w:w="638" w:type="dxa"/>
                  <w:vMerge w:val="continue"/>
                  <w:noWrap/>
                  <w:vAlign w:val="center"/>
                </w:tcPr>
                <w:p>
                  <w:pPr>
                    <w:adjustRightInd w:val="0"/>
                    <w:snapToGrid w:val="0"/>
                    <w:jc w:val="center"/>
                    <w:rPr>
                      <w:rFonts w:ascii="宋体" w:hAnsi="宋体" w:cs="宋体"/>
                      <w:szCs w:val="21"/>
                    </w:rPr>
                  </w:pPr>
                </w:p>
              </w:tc>
              <w:tc>
                <w:tcPr>
                  <w:tcW w:w="1796" w:type="dxa"/>
                  <w:noWrap/>
                  <w:vAlign w:val="center"/>
                </w:tcPr>
                <w:p>
                  <w:pPr>
                    <w:adjustRightInd w:val="0"/>
                    <w:snapToGrid w:val="0"/>
                    <w:jc w:val="center"/>
                    <w:rPr>
                      <w:rFonts w:ascii="宋体" w:hAnsi="宋体" w:cs="宋体"/>
                      <w:szCs w:val="21"/>
                    </w:rPr>
                  </w:pPr>
                  <w:r>
                    <w:rPr>
                      <w:rFonts w:hint="eastAsia" w:ascii="宋体" w:hAnsi="宋体" w:cs="宋体"/>
                      <w:szCs w:val="21"/>
                    </w:rPr>
                    <w:t>库</w:t>
                  </w:r>
                  <w:r>
                    <w:rPr>
                      <w:rFonts w:hint="eastAsia" w:ascii="宋体" w:hAnsi="宋体" w:cs="宋体"/>
                      <w:szCs w:val="21"/>
                      <w:lang w:eastAsia="zh-CN"/>
                    </w:rPr>
                    <w:t>房</w:t>
                  </w:r>
                  <w:r>
                    <w:rPr>
                      <w:rFonts w:hint="eastAsia" w:ascii="宋体" w:hAnsi="宋体" w:cs="宋体"/>
                      <w:szCs w:val="21"/>
                    </w:rPr>
                    <w:t>①</w:t>
                  </w:r>
                </w:p>
              </w:tc>
              <w:tc>
                <w:tcPr>
                  <w:tcW w:w="1039" w:type="dxa"/>
                  <w:noWrap/>
                  <w:vAlign w:val="center"/>
                </w:tcPr>
                <w:p>
                  <w:pPr>
                    <w:adjustRightInd w:val="0"/>
                    <w:snapToGrid w:val="0"/>
                    <w:jc w:val="center"/>
                    <w:rPr>
                      <w:rFonts w:ascii="宋体" w:hAnsi="宋体" w:cs="宋体"/>
                      <w:szCs w:val="21"/>
                    </w:rPr>
                  </w:pPr>
                  <w:r>
                    <w:rPr>
                      <w:rFonts w:hint="eastAsia" w:ascii="宋体" w:hAnsi="宋体" w:cs="宋体"/>
                      <w:szCs w:val="21"/>
                    </w:rPr>
                    <w:t>750m</w:t>
                  </w:r>
                  <w:r>
                    <w:rPr>
                      <w:rFonts w:hint="eastAsia" w:ascii="宋体" w:hAnsi="宋体" w:cs="宋体"/>
                      <w:szCs w:val="21"/>
                      <w:vertAlign w:val="superscript"/>
                    </w:rPr>
                    <w:t>2</w:t>
                  </w:r>
                </w:p>
              </w:tc>
              <w:tc>
                <w:tcPr>
                  <w:tcW w:w="4111" w:type="dxa"/>
                  <w:vMerge w:val="restart"/>
                  <w:noWrap/>
                  <w:vAlign w:val="center"/>
                </w:tcPr>
                <w:p>
                  <w:pPr>
                    <w:adjustRightInd w:val="0"/>
                    <w:snapToGrid w:val="0"/>
                    <w:jc w:val="center"/>
                    <w:rPr>
                      <w:rFonts w:ascii="宋体" w:hAnsi="宋体" w:cs="宋体"/>
                      <w:szCs w:val="21"/>
                    </w:rPr>
                  </w:pPr>
                  <w:r>
                    <w:rPr>
                      <w:rFonts w:hint="eastAsia" w:ascii="宋体" w:hAnsi="宋体" w:cs="宋体"/>
                      <w:szCs w:val="21"/>
                    </w:rPr>
                    <w:t>单层建筑，用于拆解物和一般固废暂存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3</w:t>
                  </w:r>
                </w:p>
              </w:tc>
              <w:tc>
                <w:tcPr>
                  <w:tcW w:w="638" w:type="dxa"/>
                  <w:vMerge w:val="continue"/>
                  <w:noWrap/>
                  <w:vAlign w:val="center"/>
                </w:tcPr>
                <w:p>
                  <w:pPr>
                    <w:adjustRightInd w:val="0"/>
                    <w:snapToGrid w:val="0"/>
                    <w:jc w:val="center"/>
                    <w:rPr>
                      <w:rFonts w:ascii="宋体" w:hAnsi="宋体" w:cs="宋体"/>
                      <w:szCs w:val="21"/>
                    </w:rPr>
                  </w:pPr>
                </w:p>
              </w:tc>
              <w:tc>
                <w:tcPr>
                  <w:tcW w:w="1796" w:type="dxa"/>
                  <w:noWrap/>
                  <w:vAlign w:val="center"/>
                </w:tcPr>
                <w:p>
                  <w:pPr>
                    <w:adjustRightInd w:val="0"/>
                    <w:snapToGrid w:val="0"/>
                    <w:jc w:val="center"/>
                    <w:rPr>
                      <w:rFonts w:ascii="宋体" w:hAnsi="宋体" w:cs="宋体"/>
                      <w:szCs w:val="21"/>
                    </w:rPr>
                  </w:pPr>
                  <w:r>
                    <w:rPr>
                      <w:rFonts w:hint="eastAsia" w:ascii="宋体" w:hAnsi="宋体" w:cs="宋体"/>
                      <w:szCs w:val="21"/>
                    </w:rPr>
                    <w:t>库</w:t>
                  </w:r>
                  <w:r>
                    <w:rPr>
                      <w:rFonts w:hint="eastAsia" w:ascii="宋体" w:hAnsi="宋体" w:cs="宋体"/>
                      <w:szCs w:val="21"/>
                      <w:lang w:eastAsia="zh-CN"/>
                    </w:rPr>
                    <w:t>房</w:t>
                  </w:r>
                  <w:r>
                    <w:rPr>
                      <w:rFonts w:hint="eastAsia" w:ascii="宋体" w:hAnsi="宋体" w:cs="宋体"/>
                      <w:szCs w:val="21"/>
                    </w:rPr>
                    <w:t>②</w:t>
                  </w:r>
                </w:p>
              </w:tc>
              <w:tc>
                <w:tcPr>
                  <w:tcW w:w="1039" w:type="dxa"/>
                  <w:noWrap/>
                  <w:vAlign w:val="center"/>
                </w:tcPr>
                <w:p>
                  <w:pPr>
                    <w:adjustRightInd w:val="0"/>
                    <w:snapToGrid w:val="0"/>
                    <w:jc w:val="center"/>
                    <w:rPr>
                      <w:rFonts w:ascii="宋体" w:hAnsi="宋体" w:cs="宋体"/>
                      <w:szCs w:val="21"/>
                    </w:rPr>
                  </w:pPr>
                  <w:r>
                    <w:rPr>
                      <w:rFonts w:hint="eastAsia" w:ascii="宋体" w:hAnsi="宋体" w:cs="宋体"/>
                      <w:szCs w:val="21"/>
                    </w:rPr>
                    <w:t>800m</w:t>
                  </w:r>
                  <w:r>
                    <w:rPr>
                      <w:rFonts w:hint="eastAsia" w:ascii="宋体" w:hAnsi="宋体" w:cs="宋体"/>
                      <w:szCs w:val="21"/>
                      <w:vertAlign w:val="superscript"/>
                    </w:rPr>
                    <w:t>2</w:t>
                  </w:r>
                </w:p>
              </w:tc>
              <w:tc>
                <w:tcPr>
                  <w:tcW w:w="4111" w:type="dxa"/>
                  <w:vMerge w:val="continue"/>
                  <w:noWrap/>
                  <w:vAlign w:val="center"/>
                </w:tcPr>
                <w:p>
                  <w:pPr>
                    <w:adjustRightInd w:val="0"/>
                    <w:snapToGrid w:val="0"/>
                    <w:jc w:val="center"/>
                    <w:rPr>
                      <w:rFonts w:ascii="宋体" w:hAnsi="宋体" w:cs="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4</w:t>
                  </w:r>
                </w:p>
              </w:tc>
              <w:tc>
                <w:tcPr>
                  <w:tcW w:w="638" w:type="dxa"/>
                  <w:vMerge w:val="continue"/>
                  <w:noWrap/>
                  <w:vAlign w:val="center"/>
                </w:tcPr>
                <w:p>
                  <w:pPr>
                    <w:adjustRightInd w:val="0"/>
                    <w:snapToGrid w:val="0"/>
                    <w:jc w:val="center"/>
                    <w:rPr>
                      <w:rFonts w:ascii="宋体" w:hAnsi="宋体" w:cs="宋体"/>
                      <w:szCs w:val="21"/>
                    </w:rPr>
                  </w:pPr>
                </w:p>
              </w:tc>
              <w:tc>
                <w:tcPr>
                  <w:tcW w:w="1796" w:type="dxa"/>
                  <w:noWrap/>
                  <w:vAlign w:val="center"/>
                </w:tcPr>
                <w:p>
                  <w:pPr>
                    <w:adjustRightInd w:val="0"/>
                    <w:snapToGrid w:val="0"/>
                    <w:jc w:val="center"/>
                    <w:rPr>
                      <w:rFonts w:ascii="宋体" w:hAnsi="宋体" w:cs="宋体"/>
                      <w:szCs w:val="21"/>
                    </w:rPr>
                  </w:pPr>
                  <w:r>
                    <w:rPr>
                      <w:rFonts w:hint="eastAsia" w:ascii="宋体" w:hAnsi="宋体" w:cs="宋体"/>
                      <w:szCs w:val="21"/>
                    </w:rPr>
                    <w:t>废机油收储车间</w:t>
                  </w:r>
                </w:p>
              </w:tc>
              <w:tc>
                <w:tcPr>
                  <w:tcW w:w="1039" w:type="dxa"/>
                  <w:noWrap/>
                  <w:vAlign w:val="center"/>
                </w:tcPr>
                <w:p>
                  <w:pPr>
                    <w:adjustRightInd w:val="0"/>
                    <w:snapToGrid w:val="0"/>
                    <w:jc w:val="center"/>
                    <w:rPr>
                      <w:rFonts w:ascii="宋体" w:hAnsi="宋体" w:cs="宋体"/>
                      <w:szCs w:val="21"/>
                    </w:rPr>
                  </w:pPr>
                  <w:r>
                    <w:rPr>
                      <w:rFonts w:hint="eastAsia" w:ascii="宋体" w:hAnsi="宋体" w:cs="宋体"/>
                      <w:szCs w:val="21"/>
                    </w:rPr>
                    <w:t>260m</w:t>
                  </w:r>
                  <w:r>
                    <w:rPr>
                      <w:rFonts w:hint="eastAsia" w:ascii="宋体" w:hAnsi="宋体" w:cs="宋体"/>
                      <w:szCs w:val="21"/>
                      <w:vertAlign w:val="superscript"/>
                    </w:rPr>
                    <w:t>2</w:t>
                  </w:r>
                </w:p>
              </w:tc>
              <w:tc>
                <w:tcPr>
                  <w:tcW w:w="4111" w:type="dxa"/>
                  <w:noWrap/>
                  <w:vAlign w:val="center"/>
                </w:tcPr>
                <w:p>
                  <w:pPr>
                    <w:adjustRightInd w:val="0"/>
                    <w:snapToGrid w:val="0"/>
                    <w:jc w:val="center"/>
                    <w:rPr>
                      <w:rFonts w:ascii="宋体" w:hAnsi="宋体" w:cs="宋体"/>
                      <w:szCs w:val="21"/>
                    </w:rPr>
                  </w:pPr>
                  <w:r>
                    <w:rPr>
                      <w:rFonts w:hint="eastAsia" w:ascii="宋体" w:hAnsi="宋体" w:cs="宋体"/>
                      <w:szCs w:val="21"/>
                    </w:rPr>
                    <w:t>利用现有建筑改建</w:t>
                  </w:r>
                </w:p>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w:t>
                  </w:r>
                  <w:r>
                    <w:rPr>
                      <w:rFonts w:hint="eastAsia" w:ascii="宋体" w:hAnsi="宋体" w:cs="宋体"/>
                      <w:szCs w:val="21"/>
                    </w:rPr>
                    <w:t>又称危险废物暂存间</w:t>
                  </w:r>
                  <w:r>
                    <w:rPr>
                      <w:rFonts w:hint="eastAsia" w:ascii="宋体" w:hAnsi="宋体" w:cs="宋体"/>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5</w:t>
                  </w:r>
                </w:p>
              </w:tc>
              <w:tc>
                <w:tcPr>
                  <w:tcW w:w="638" w:type="dxa"/>
                  <w:vMerge w:val="continue"/>
                  <w:noWrap/>
                  <w:vAlign w:val="center"/>
                </w:tcPr>
                <w:p>
                  <w:pPr>
                    <w:adjustRightInd w:val="0"/>
                    <w:snapToGrid w:val="0"/>
                    <w:jc w:val="center"/>
                    <w:rPr>
                      <w:rFonts w:ascii="宋体" w:hAnsi="宋体" w:cs="宋体"/>
                      <w:szCs w:val="21"/>
                    </w:rPr>
                  </w:pPr>
                </w:p>
              </w:tc>
              <w:tc>
                <w:tcPr>
                  <w:tcW w:w="1796" w:type="dxa"/>
                  <w:noWrap/>
                  <w:vAlign w:val="center"/>
                </w:tcPr>
                <w:p>
                  <w:pPr>
                    <w:adjustRightInd w:val="0"/>
                    <w:snapToGrid w:val="0"/>
                    <w:jc w:val="center"/>
                    <w:rPr>
                      <w:rFonts w:ascii="宋体" w:hAnsi="宋体" w:cs="宋体"/>
                      <w:szCs w:val="21"/>
                    </w:rPr>
                  </w:pPr>
                  <w:r>
                    <w:rPr>
                      <w:rFonts w:hint="eastAsia" w:ascii="宋体" w:hAnsi="宋体" w:cs="宋体"/>
                      <w:szCs w:val="21"/>
                      <w:lang w:eastAsia="zh-CN"/>
                    </w:rPr>
                    <w:t>存</w:t>
                  </w:r>
                  <w:r>
                    <w:rPr>
                      <w:rFonts w:hint="eastAsia" w:ascii="宋体" w:hAnsi="宋体" w:cs="宋体"/>
                      <w:szCs w:val="21"/>
                    </w:rPr>
                    <w:t>车场</w:t>
                  </w:r>
                </w:p>
                <w:p>
                  <w:pPr>
                    <w:adjustRightInd w:val="0"/>
                    <w:snapToGrid w:val="0"/>
                    <w:jc w:val="center"/>
                    <w:rPr>
                      <w:rFonts w:ascii="宋体" w:hAnsi="宋体" w:cs="宋体"/>
                      <w:szCs w:val="21"/>
                    </w:rPr>
                  </w:pPr>
                  <w:r>
                    <w:rPr>
                      <w:rFonts w:hint="eastAsia" w:ascii="宋体" w:hAnsi="宋体" w:cs="宋体"/>
                      <w:szCs w:val="21"/>
                    </w:rPr>
                    <w:t>报废农用车存储</w:t>
                  </w:r>
                </w:p>
              </w:tc>
              <w:tc>
                <w:tcPr>
                  <w:tcW w:w="1039" w:type="dxa"/>
                  <w:noWrap/>
                  <w:vAlign w:val="center"/>
                </w:tcPr>
                <w:p>
                  <w:pPr>
                    <w:adjustRightInd w:val="0"/>
                    <w:snapToGrid w:val="0"/>
                    <w:jc w:val="center"/>
                    <w:rPr>
                      <w:rFonts w:ascii="宋体" w:hAnsi="宋体" w:cs="宋体"/>
                      <w:szCs w:val="21"/>
                    </w:rPr>
                  </w:pPr>
                  <w:r>
                    <w:rPr>
                      <w:rFonts w:hint="eastAsia" w:ascii="宋体" w:hAnsi="宋体" w:cs="宋体"/>
                      <w:szCs w:val="21"/>
                    </w:rPr>
                    <w:t>3000m</w:t>
                  </w:r>
                  <w:r>
                    <w:rPr>
                      <w:rFonts w:hint="eastAsia" w:ascii="宋体" w:hAnsi="宋体" w:cs="宋体"/>
                      <w:szCs w:val="21"/>
                      <w:vertAlign w:val="superscript"/>
                    </w:rPr>
                    <w:t>2</w:t>
                  </w:r>
                </w:p>
              </w:tc>
              <w:tc>
                <w:tcPr>
                  <w:tcW w:w="4111" w:type="dxa"/>
                  <w:noWrap/>
                  <w:vAlign w:val="center"/>
                </w:tcPr>
                <w:p>
                  <w:pPr>
                    <w:adjustRightInd w:val="0"/>
                    <w:snapToGrid w:val="0"/>
                    <w:jc w:val="center"/>
                    <w:rPr>
                      <w:rFonts w:ascii="宋体" w:hAnsi="宋体" w:cs="宋体"/>
                      <w:szCs w:val="21"/>
                    </w:rPr>
                  </w:pPr>
                  <w:r>
                    <w:rPr>
                      <w:rFonts w:hint="eastAsia" w:ascii="宋体" w:hAnsi="宋体" w:cs="宋体"/>
                      <w:szCs w:val="21"/>
                    </w:rPr>
                    <w:t>硬化地面，用于进场农机车暂存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 w:hRule="atLeast"/>
              </w:trPr>
              <w:tc>
                <w:tcPr>
                  <w:tcW w:w="671" w:type="dxa"/>
                  <w:noWrap/>
                  <w:vAlign w:val="center"/>
                </w:tcPr>
                <w:p>
                  <w:pPr>
                    <w:adjustRightInd w:val="0"/>
                    <w:snapToGrid w:val="0"/>
                    <w:jc w:val="center"/>
                    <w:rPr>
                      <w:rFonts w:ascii="宋体" w:hAnsi="宋体" w:cs="宋体"/>
                      <w:szCs w:val="21"/>
                    </w:rPr>
                  </w:pPr>
                  <w:r>
                    <w:rPr>
                      <w:rFonts w:hint="eastAsia" w:ascii="宋体" w:hAnsi="宋体" w:cs="宋体"/>
                      <w:szCs w:val="21"/>
                    </w:rPr>
                    <w:t>6</w:t>
                  </w:r>
                </w:p>
              </w:tc>
              <w:tc>
                <w:tcPr>
                  <w:tcW w:w="2434" w:type="dxa"/>
                  <w:gridSpan w:val="2"/>
                  <w:noWrap/>
                  <w:vAlign w:val="center"/>
                </w:tcPr>
                <w:p>
                  <w:pPr>
                    <w:adjustRightInd w:val="0"/>
                    <w:snapToGrid w:val="0"/>
                    <w:jc w:val="center"/>
                    <w:rPr>
                      <w:rFonts w:ascii="宋体" w:hAnsi="宋体" w:cs="宋体"/>
                      <w:szCs w:val="21"/>
                    </w:rPr>
                  </w:pPr>
                  <w:r>
                    <w:rPr>
                      <w:rFonts w:hint="eastAsia" w:ascii="宋体" w:hAnsi="宋体" w:cs="宋体"/>
                      <w:szCs w:val="21"/>
                    </w:rPr>
                    <w:t>办公室</w:t>
                  </w:r>
                </w:p>
              </w:tc>
              <w:tc>
                <w:tcPr>
                  <w:tcW w:w="1039" w:type="dxa"/>
                  <w:noWrap/>
                  <w:vAlign w:val="center"/>
                </w:tcPr>
                <w:p>
                  <w:pPr>
                    <w:adjustRightInd w:val="0"/>
                    <w:snapToGrid w:val="0"/>
                    <w:jc w:val="center"/>
                    <w:rPr>
                      <w:rFonts w:ascii="宋体" w:hAnsi="宋体" w:cs="宋体"/>
                      <w:szCs w:val="21"/>
                    </w:rPr>
                  </w:pPr>
                  <w:r>
                    <w:rPr>
                      <w:rFonts w:hint="eastAsia" w:ascii="宋体" w:hAnsi="宋体" w:cs="宋体"/>
                      <w:szCs w:val="21"/>
                    </w:rPr>
                    <w:t>500m</w:t>
                  </w:r>
                  <w:r>
                    <w:rPr>
                      <w:rFonts w:hint="eastAsia" w:ascii="宋体" w:hAnsi="宋体" w:cs="宋体"/>
                      <w:szCs w:val="21"/>
                      <w:vertAlign w:val="superscript"/>
                    </w:rPr>
                    <w:t>2</w:t>
                  </w:r>
                </w:p>
              </w:tc>
              <w:tc>
                <w:tcPr>
                  <w:tcW w:w="4111" w:type="dxa"/>
                  <w:noWrap/>
                  <w:vAlign w:val="center"/>
                </w:tcPr>
                <w:p>
                  <w:pPr>
                    <w:adjustRightInd w:val="0"/>
                    <w:snapToGrid w:val="0"/>
                    <w:jc w:val="center"/>
                    <w:rPr>
                      <w:rFonts w:ascii="宋体" w:hAnsi="宋体" w:cs="宋体"/>
                      <w:szCs w:val="21"/>
                    </w:rPr>
                  </w:pPr>
                  <w:r>
                    <w:rPr>
                      <w:rFonts w:hint="eastAsia" w:ascii="宋体" w:hAnsi="宋体" w:cs="宋体"/>
                      <w:szCs w:val="21"/>
                    </w:rPr>
                    <w:t>用于职工休息、办公</w:t>
                  </w:r>
                </w:p>
              </w:tc>
            </w:tr>
          </w:tbl>
          <w:p>
            <w:pPr>
              <w:adjustRightInd w:val="0"/>
              <w:snapToGrid w:val="0"/>
              <w:ind w:firstLine="480" w:firstLineChars="200"/>
              <w:rPr>
                <w:color w:val="FF0000"/>
                <w:sz w:val="24"/>
              </w:rPr>
            </w:pPr>
          </w:p>
          <w:p>
            <w:pPr>
              <w:adjustRightInd w:val="0"/>
              <w:snapToGrid w:val="0"/>
              <w:spacing w:line="360" w:lineRule="auto"/>
              <w:ind w:firstLine="482" w:firstLineChars="200"/>
              <w:rPr>
                <w:b/>
                <w:sz w:val="24"/>
                <w:u w:val="single"/>
              </w:rPr>
            </w:pPr>
            <w:r>
              <w:rPr>
                <w:rFonts w:hint="eastAsia"/>
                <w:b/>
                <w:sz w:val="24"/>
                <w:u w:val="single"/>
              </w:rPr>
              <w:t>5、主要设备信息</w:t>
            </w:r>
          </w:p>
          <w:p>
            <w:pPr>
              <w:adjustRightInd w:val="0"/>
              <w:snapToGrid w:val="0"/>
              <w:spacing w:line="360" w:lineRule="auto"/>
              <w:ind w:firstLine="480" w:firstLineChars="200"/>
              <w:rPr>
                <w:sz w:val="24"/>
                <w:u w:val="single"/>
              </w:rPr>
            </w:pPr>
            <w:r>
              <w:rPr>
                <w:rFonts w:hint="eastAsia"/>
                <w:sz w:val="24"/>
                <w:u w:val="single"/>
              </w:rPr>
              <w:t>本项目主要设备信息详见下表：</w:t>
            </w:r>
          </w:p>
          <w:p>
            <w:pPr>
              <w:adjustRightInd w:val="0"/>
              <w:snapToGrid w:val="0"/>
              <w:spacing w:line="360" w:lineRule="auto"/>
              <w:ind w:firstLine="482" w:firstLineChars="200"/>
              <w:jc w:val="center"/>
              <w:rPr>
                <w:rFonts w:ascii="宋体" w:hAnsi="宋体" w:cs="宋体"/>
                <w:b/>
                <w:bCs/>
                <w:sz w:val="24"/>
                <w:szCs w:val="24"/>
                <w:u w:val="single"/>
              </w:rPr>
            </w:pPr>
            <w:r>
              <w:rPr>
                <w:rFonts w:hint="eastAsia" w:ascii="宋体" w:hAnsi="宋体" w:cs="宋体"/>
                <w:b/>
                <w:bCs/>
                <w:sz w:val="24"/>
                <w:szCs w:val="24"/>
                <w:u w:val="single"/>
              </w:rPr>
              <w:t>表1</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 xml:space="preserve">  本项目主要生产设备一览表</w:t>
            </w:r>
          </w:p>
          <w:tbl>
            <w:tblPr>
              <w:tblStyle w:val="25"/>
              <w:tblW w:w="82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33"/>
              <w:gridCol w:w="775"/>
              <w:gridCol w:w="1007"/>
              <w:gridCol w:w="39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blHeader/>
              </w:trPr>
              <w:tc>
                <w:tcPr>
                  <w:tcW w:w="742" w:type="dxa"/>
                  <w:noWrap/>
                  <w:vAlign w:val="center"/>
                </w:tcPr>
                <w:p>
                  <w:pPr>
                    <w:adjustRightInd w:val="0"/>
                    <w:snapToGrid w:val="0"/>
                    <w:jc w:val="center"/>
                    <w:rPr>
                      <w:rFonts w:ascii="宋体" w:hAnsi="宋体" w:cs="宋体"/>
                      <w:b/>
                      <w:bCs/>
                      <w:szCs w:val="21"/>
                      <w:u w:val="single"/>
                    </w:rPr>
                  </w:pPr>
                  <w:r>
                    <w:rPr>
                      <w:rFonts w:hint="eastAsia" w:ascii="宋体" w:hAnsi="宋体" w:cs="宋体"/>
                      <w:b/>
                      <w:bCs/>
                      <w:szCs w:val="21"/>
                      <w:u w:val="single"/>
                    </w:rPr>
                    <w:t>序号</w:t>
                  </w:r>
                </w:p>
              </w:tc>
              <w:tc>
                <w:tcPr>
                  <w:tcW w:w="1733" w:type="dxa"/>
                  <w:noWrap/>
                  <w:vAlign w:val="center"/>
                </w:tcPr>
                <w:p>
                  <w:pPr>
                    <w:adjustRightInd w:val="0"/>
                    <w:snapToGrid w:val="0"/>
                    <w:jc w:val="center"/>
                    <w:rPr>
                      <w:rFonts w:ascii="宋体" w:hAnsi="宋体" w:cs="宋体"/>
                      <w:b/>
                      <w:bCs/>
                      <w:szCs w:val="21"/>
                      <w:u w:val="single"/>
                    </w:rPr>
                  </w:pPr>
                  <w:r>
                    <w:rPr>
                      <w:rFonts w:hint="eastAsia" w:ascii="宋体" w:hAnsi="宋体" w:cs="宋体"/>
                      <w:b/>
                      <w:bCs/>
                      <w:szCs w:val="21"/>
                      <w:u w:val="single"/>
                    </w:rPr>
                    <w:t>名称</w:t>
                  </w:r>
                </w:p>
              </w:tc>
              <w:tc>
                <w:tcPr>
                  <w:tcW w:w="775" w:type="dxa"/>
                  <w:noWrap/>
                  <w:vAlign w:val="center"/>
                </w:tcPr>
                <w:p>
                  <w:pPr>
                    <w:adjustRightInd w:val="0"/>
                    <w:snapToGrid w:val="0"/>
                    <w:jc w:val="center"/>
                    <w:rPr>
                      <w:rFonts w:ascii="宋体" w:hAnsi="宋体" w:cs="宋体"/>
                      <w:b/>
                      <w:bCs/>
                      <w:szCs w:val="21"/>
                      <w:u w:val="single"/>
                    </w:rPr>
                  </w:pPr>
                  <w:r>
                    <w:rPr>
                      <w:rFonts w:hint="eastAsia" w:ascii="宋体" w:hAnsi="宋体" w:cs="宋体"/>
                      <w:b/>
                      <w:bCs/>
                      <w:szCs w:val="21"/>
                      <w:u w:val="single"/>
                    </w:rPr>
                    <w:t>单位</w:t>
                  </w:r>
                </w:p>
              </w:tc>
              <w:tc>
                <w:tcPr>
                  <w:tcW w:w="1007" w:type="dxa"/>
                  <w:noWrap/>
                  <w:vAlign w:val="center"/>
                </w:tcPr>
                <w:p>
                  <w:pPr>
                    <w:adjustRightInd w:val="0"/>
                    <w:snapToGrid w:val="0"/>
                    <w:jc w:val="center"/>
                    <w:rPr>
                      <w:rFonts w:ascii="宋体" w:hAnsi="宋体" w:cs="宋体"/>
                      <w:b/>
                      <w:bCs/>
                      <w:szCs w:val="21"/>
                      <w:u w:val="single"/>
                    </w:rPr>
                  </w:pPr>
                  <w:r>
                    <w:rPr>
                      <w:rFonts w:hint="eastAsia" w:ascii="宋体" w:hAnsi="宋体" w:cs="宋体"/>
                      <w:b/>
                      <w:bCs/>
                      <w:szCs w:val="21"/>
                      <w:u w:val="single"/>
                    </w:rPr>
                    <w:t>数量</w:t>
                  </w:r>
                </w:p>
              </w:tc>
              <w:tc>
                <w:tcPr>
                  <w:tcW w:w="3990" w:type="dxa"/>
                  <w:noWrap/>
                </w:tcPr>
                <w:p>
                  <w:pPr>
                    <w:adjustRightInd w:val="0"/>
                    <w:snapToGrid w:val="0"/>
                    <w:jc w:val="center"/>
                    <w:rPr>
                      <w:rFonts w:ascii="宋体" w:hAnsi="宋体" w:cs="宋体"/>
                      <w:b/>
                      <w:bCs/>
                      <w:szCs w:val="21"/>
                      <w:u w:val="single"/>
                    </w:rPr>
                  </w:pPr>
                  <w:r>
                    <w:rPr>
                      <w:rFonts w:hint="eastAsia" w:ascii="宋体" w:hAnsi="宋体" w:cs="宋体"/>
                      <w:b/>
                      <w:bCs/>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等离子切割机</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6</w:t>
                  </w:r>
                </w:p>
              </w:tc>
              <w:tc>
                <w:tcPr>
                  <w:tcW w:w="3990" w:type="dxa"/>
                  <w:noWrap/>
                </w:tcPr>
                <w:p>
                  <w:pPr>
                    <w:adjustRightInd w:val="0"/>
                    <w:snapToGrid w:val="0"/>
                    <w:jc w:val="center"/>
                    <w:rPr>
                      <w:rFonts w:ascii="宋体" w:hAnsi="宋体" w:cs="宋体"/>
                      <w:szCs w:val="21"/>
                      <w:u w:val="single"/>
                    </w:rPr>
                  </w:pPr>
                  <w:r>
                    <w:rPr>
                      <w:rFonts w:hint="eastAsia" w:ascii="宋体" w:hAnsi="宋体" w:cs="宋体"/>
                      <w:szCs w:val="21"/>
                      <w:u w:val="single"/>
                    </w:rPr>
                    <w:t>工业级，切割厚度60MM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2</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电动拆解工具</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套</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3</w:t>
                  </w:r>
                </w:p>
              </w:tc>
              <w:tc>
                <w:tcPr>
                  <w:tcW w:w="3990" w:type="dxa"/>
                  <w:noWrap/>
                </w:tcPr>
                <w:p>
                  <w:pPr>
                    <w:adjustRightInd w:val="0"/>
                    <w:snapToGrid w:val="0"/>
                    <w:jc w:val="center"/>
                    <w:rPr>
                      <w:rFonts w:ascii="宋体" w:hAnsi="宋体" w:cs="宋体"/>
                      <w:szCs w:val="21"/>
                      <w:u w:val="single"/>
                    </w:rPr>
                  </w:pPr>
                  <w:r>
                    <w:rPr>
                      <w:rFonts w:hint="eastAsia" w:ascii="宋体" w:hAnsi="宋体" w:cs="宋体"/>
                      <w:szCs w:val="21"/>
                      <w:u w:val="single"/>
                    </w:rPr>
                    <w:t>电镐、风炮、液压破碎头等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3"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3</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液压剪</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2</w:t>
                  </w:r>
                </w:p>
              </w:tc>
              <w:tc>
                <w:tcPr>
                  <w:tcW w:w="3990" w:type="dxa"/>
                  <w:noWrap/>
                </w:tcPr>
                <w:p>
                  <w:pPr>
                    <w:tabs>
                      <w:tab w:val="left" w:pos="570"/>
                    </w:tabs>
                    <w:adjustRightInd w:val="0"/>
                    <w:snapToGrid w:val="0"/>
                    <w:jc w:val="center"/>
                    <w:rPr>
                      <w:rFonts w:ascii="宋体" w:hAnsi="宋体" w:cs="宋体"/>
                      <w:szCs w:val="21"/>
                      <w:u w:val="single"/>
                    </w:rPr>
                  </w:pPr>
                  <w:r>
                    <w:rPr>
                      <w:rFonts w:hint="eastAsia" w:ascii="宋体" w:hAnsi="宋体" w:cs="宋体"/>
                      <w:szCs w:val="21"/>
                      <w:u w:val="single"/>
                    </w:rPr>
                    <w:t>挖掘机装带液压剪，剪断厚度50MM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4</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铲车</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2</w:t>
                  </w:r>
                </w:p>
              </w:tc>
              <w:tc>
                <w:tcPr>
                  <w:tcW w:w="3990" w:type="dxa"/>
                  <w:noWrap/>
                </w:tcPr>
                <w:p>
                  <w:pPr>
                    <w:adjustRightInd w:val="0"/>
                    <w:snapToGrid w:val="0"/>
                    <w:jc w:val="center"/>
                    <w:rPr>
                      <w:rFonts w:ascii="宋体" w:hAnsi="宋体" w:cs="宋体"/>
                      <w:szCs w:val="21"/>
                      <w:u w:val="single"/>
                    </w:rPr>
                  </w:pPr>
                  <w:r>
                    <w:rPr>
                      <w:rFonts w:hint="eastAsia" w:ascii="宋体" w:hAnsi="宋体" w:cs="宋体"/>
                      <w:szCs w:val="21"/>
                      <w:u w:val="single"/>
                    </w:rPr>
                    <w:t>装载、卸载设备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5</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压块打包机</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2</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6</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起重机</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7</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吊车</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台</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8</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储油罐</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个</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eastAsia="宋体" w:cs="宋体"/>
                      <w:color w:val="000000"/>
                      <w:spacing w:val="-6"/>
                      <w:szCs w:val="21"/>
                      <w:u w:val="single"/>
                    </w:rPr>
                  </w:pPr>
                  <w:r>
                    <w:rPr>
                      <w:rFonts w:ascii="宋体" w:hAnsi="宋体" w:eastAsia="宋体" w:cs="宋体"/>
                      <w:color w:val="000000"/>
                      <w:szCs w:val="21"/>
                      <w:u w:val="single"/>
                    </w:rPr>
                    <w:t>卧罐，钢结构，常温常压，</w:t>
                  </w:r>
                  <w:r>
                    <w:rPr>
                      <w:rFonts w:hint="eastAsia" w:ascii="宋体" w:hAnsi="宋体" w:eastAsia="宋体" w:cs="宋体"/>
                      <w:color w:val="000000"/>
                      <w:szCs w:val="21"/>
                      <w:u w:val="single"/>
                    </w:rPr>
                    <w:t>1</w:t>
                  </w:r>
                  <w:r>
                    <w:rPr>
                      <w:rFonts w:ascii="宋体" w:hAnsi="宋体" w:eastAsia="宋体" w:cs="宋体"/>
                      <w:color w:val="000000"/>
                      <w:szCs w:val="21"/>
                      <w:u w:val="single"/>
                    </w:rPr>
                    <w:t>个储油</w:t>
                  </w:r>
                  <w:r>
                    <w:rPr>
                      <w:rFonts w:ascii="宋体" w:hAnsi="宋体" w:eastAsia="宋体" w:cs="宋体"/>
                      <w:color w:val="000000"/>
                      <w:spacing w:val="-6"/>
                      <w:szCs w:val="21"/>
                      <w:u w:val="single"/>
                    </w:rPr>
                    <w:t>罐</w:t>
                  </w:r>
                </w:p>
                <w:p>
                  <w:pPr>
                    <w:adjustRightInd w:val="0"/>
                    <w:snapToGrid w:val="0"/>
                    <w:jc w:val="center"/>
                    <w:rPr>
                      <w:rFonts w:ascii="宋体" w:hAnsi="宋体" w:cs="宋体"/>
                      <w:szCs w:val="21"/>
                      <w:u w:val="single"/>
                    </w:rPr>
                  </w:pPr>
                  <w:r>
                    <w:rPr>
                      <w:rFonts w:ascii="宋体" w:hAnsi="宋体" w:eastAsia="宋体" w:cs="宋体"/>
                      <w:spacing w:val="-6"/>
                      <w:szCs w:val="21"/>
                      <w:u w:val="single"/>
                    </w:rPr>
                    <w:t>最大存储量</w:t>
                  </w:r>
                  <w:r>
                    <w:rPr>
                      <w:rFonts w:hint="eastAsia" w:ascii="宋体" w:hAnsi="宋体" w:eastAsia="宋体" w:cs="宋体"/>
                      <w:spacing w:val="-6"/>
                      <w:szCs w:val="21"/>
                      <w:u w:val="single"/>
                    </w:rPr>
                    <w:t>10t</w:t>
                  </w:r>
                  <w:r>
                    <w:rPr>
                      <w:rFonts w:ascii="宋体" w:hAnsi="宋体" w:eastAsia="宋体" w:cs="宋体"/>
                      <w:spacing w:val="-6"/>
                      <w:szCs w:val="21"/>
                      <w:u w:val="single"/>
                    </w:rPr>
                    <w:t>，年周转次数</w:t>
                  </w:r>
                  <w:r>
                    <w:rPr>
                      <w:rFonts w:hint="eastAsia" w:ascii="宋体" w:hAnsi="宋体" w:eastAsia="宋体" w:cs="宋体"/>
                      <w:spacing w:val="-6"/>
                      <w:szCs w:val="21"/>
                      <w:u w:val="single"/>
                    </w:rPr>
                    <w:t>5</w:t>
                  </w:r>
                  <w:r>
                    <w:rPr>
                      <w:rFonts w:ascii="宋体" w:hAnsi="宋体" w:eastAsia="宋体" w:cs="宋体"/>
                      <w:spacing w:val="-6"/>
                      <w:szCs w:val="21"/>
                      <w:u w:val="single"/>
                    </w:rPr>
                    <w:t>0次</w:t>
                  </w:r>
                  <w:r>
                    <w:rPr>
                      <w:rFonts w:ascii="宋体" w:hAnsi="宋体" w:eastAsia="宋体" w:cs="宋体"/>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9</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提升泵</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个</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10</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检测设备</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套</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11</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活性炭吸附装置</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套</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42"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12</w:t>
                  </w:r>
                </w:p>
              </w:tc>
              <w:tc>
                <w:tcPr>
                  <w:tcW w:w="1733"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布袋除尘器</w:t>
                  </w:r>
                </w:p>
              </w:tc>
              <w:tc>
                <w:tcPr>
                  <w:tcW w:w="775"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套</w:t>
                  </w:r>
                </w:p>
              </w:tc>
              <w:tc>
                <w:tcPr>
                  <w:tcW w:w="1007" w:type="dxa"/>
                  <w:noWrap/>
                  <w:vAlign w:val="center"/>
                </w:tcPr>
                <w:p>
                  <w:pPr>
                    <w:adjustRightInd w:val="0"/>
                    <w:snapToGrid w:val="0"/>
                    <w:jc w:val="center"/>
                    <w:rPr>
                      <w:rFonts w:ascii="宋体" w:hAnsi="宋体" w:cs="宋体"/>
                      <w:szCs w:val="21"/>
                      <w:u w:val="single"/>
                    </w:rPr>
                  </w:pPr>
                  <w:r>
                    <w:rPr>
                      <w:rFonts w:hint="eastAsia" w:ascii="宋体" w:hAnsi="宋体" w:cs="宋体"/>
                      <w:szCs w:val="21"/>
                      <w:u w:val="single"/>
                    </w:rPr>
                    <w:t>1</w:t>
                  </w:r>
                </w:p>
              </w:tc>
              <w:tc>
                <w:tcPr>
                  <w:tcW w:w="3990" w:type="dxa"/>
                  <w:noWrap/>
                </w:tcPr>
                <w:p>
                  <w:pPr>
                    <w:adjustRightInd w:val="0"/>
                    <w:snapToGrid w:val="0"/>
                    <w:jc w:val="center"/>
                    <w:rPr>
                      <w:rFonts w:ascii="宋体" w:hAnsi="宋体" w:cs="宋体"/>
                      <w:szCs w:val="21"/>
                      <w:u w:val="single"/>
                    </w:rPr>
                  </w:pPr>
                </w:p>
              </w:tc>
            </w:tr>
          </w:tbl>
          <w:p>
            <w:pPr>
              <w:snapToGrid w:val="0"/>
              <w:rPr>
                <w:rFonts w:hint="eastAsia" w:ascii="Times New Roman" w:hAnsi="Times New Roman" w:cs="Times New Roman" w:eastAsiaTheme="minorEastAsia"/>
                <w:b w:val="0"/>
                <w:bCs w:val="0"/>
                <w:sz w:val="21"/>
                <w:szCs w:val="21"/>
                <w:u w:val="single"/>
                <w:lang w:eastAsia="zh-CN"/>
              </w:rPr>
            </w:pPr>
            <w:r>
              <w:rPr>
                <w:rFonts w:hint="eastAsia" w:ascii="Times New Roman" w:hAnsi="Times New Roman" w:cs="Times New Roman"/>
                <w:b w:val="0"/>
                <w:bCs w:val="0"/>
                <w:sz w:val="21"/>
                <w:szCs w:val="21"/>
                <w:u w:val="single"/>
                <w:lang w:eastAsia="zh-CN"/>
              </w:rPr>
              <w:t>注：生产设备定期需维护保养，每年更换一次液压油及机油，更换下来的废油液暂存至危险废物暂存间。</w:t>
            </w:r>
          </w:p>
          <w:p>
            <w:pPr>
              <w:adjustRightInd w:val="0"/>
              <w:snapToGrid w:val="0"/>
              <w:spacing w:line="240" w:lineRule="auto"/>
              <w:ind w:firstLine="482" w:firstLineChars="200"/>
              <w:rPr>
                <w:b/>
                <w:sz w:val="24"/>
              </w:rPr>
            </w:pPr>
            <w:r>
              <w:rPr>
                <w:rFonts w:hint="eastAsia"/>
                <w:b/>
                <w:sz w:val="24"/>
              </w:rPr>
              <w:t>6、公用工程</w:t>
            </w:r>
          </w:p>
          <w:p>
            <w:pPr>
              <w:spacing w:line="360" w:lineRule="auto"/>
              <w:ind w:firstLine="472" w:firstLineChars="196"/>
              <w:rPr>
                <w:b/>
                <w:bCs/>
                <w:sz w:val="24"/>
              </w:rPr>
            </w:pPr>
            <w:r>
              <w:rPr>
                <w:b/>
                <w:bCs/>
                <w:sz w:val="24"/>
              </w:rPr>
              <w:t>（</w:t>
            </w:r>
            <w:r>
              <w:rPr>
                <w:rFonts w:hint="eastAsia"/>
                <w:b/>
                <w:bCs/>
                <w:sz w:val="24"/>
              </w:rPr>
              <w:t>1</w:t>
            </w:r>
            <w:r>
              <w:rPr>
                <w:b/>
                <w:bCs/>
                <w:sz w:val="24"/>
              </w:rPr>
              <w:t>）给排水</w:t>
            </w:r>
          </w:p>
          <w:p>
            <w:pPr>
              <w:spacing w:line="360" w:lineRule="auto"/>
              <w:ind w:firstLine="472" w:firstLineChars="196"/>
              <w:rPr>
                <w:b/>
                <w:bCs/>
                <w:sz w:val="24"/>
              </w:rPr>
            </w:pPr>
            <w:r>
              <w:rPr>
                <w:rFonts w:hint="eastAsia"/>
                <w:b/>
                <w:bCs/>
                <w:sz w:val="24"/>
              </w:rPr>
              <w:t>①给水</w:t>
            </w:r>
          </w:p>
          <w:p>
            <w:pPr>
              <w:spacing w:line="360" w:lineRule="auto"/>
              <w:ind w:firstLine="480" w:firstLineChars="200"/>
              <w:rPr>
                <w:rFonts w:ascii="宋体" w:hAnsi="宋体"/>
                <w:sz w:val="24"/>
              </w:rPr>
            </w:pPr>
            <w:r>
              <w:rPr>
                <w:rFonts w:hint="eastAsia" w:ascii="宋体" w:hAnsi="宋体"/>
                <w:sz w:val="24"/>
              </w:rPr>
              <w:t>a.本项目用水主要包括职工生活用水。用水来源采用市政集中供水管网，本项目劳动定员为20人，全部为本地居民，不设置职工食堂和宿舍，职工用水量按每人30L/d计，年工作日350d，则用水量为0.6m</w:t>
            </w:r>
            <w:r>
              <w:rPr>
                <w:rFonts w:hint="eastAsia" w:ascii="宋体" w:hAnsi="宋体"/>
                <w:sz w:val="24"/>
                <w:vertAlign w:val="superscript"/>
              </w:rPr>
              <w:t>3</w:t>
            </w:r>
            <w:r>
              <w:rPr>
                <w:rFonts w:hint="eastAsia" w:ascii="宋体" w:hAnsi="宋体"/>
                <w:sz w:val="24"/>
              </w:rPr>
              <w:t>/d（210m</w:t>
            </w:r>
            <w:r>
              <w:rPr>
                <w:rFonts w:hint="eastAsia" w:ascii="宋体" w:hAnsi="宋体"/>
                <w:sz w:val="24"/>
                <w:vertAlign w:val="superscript"/>
              </w:rPr>
              <w:t>3</w:t>
            </w:r>
            <w:r>
              <w:rPr>
                <w:rFonts w:hint="eastAsia" w:ascii="宋体" w:hAnsi="宋体"/>
                <w:sz w:val="24"/>
              </w:rPr>
              <w:t>/a）。</w:t>
            </w:r>
          </w:p>
          <w:p>
            <w:pPr>
              <w:spacing w:line="360" w:lineRule="auto"/>
              <w:ind w:firstLine="480" w:firstLineChars="200"/>
              <w:rPr>
                <w:rFonts w:ascii="宋体" w:hAnsi="宋体"/>
                <w:sz w:val="24"/>
              </w:rPr>
            </w:pPr>
            <w:r>
              <w:rPr>
                <w:rFonts w:hint="eastAsia" w:ascii="宋体" w:hAnsi="宋体"/>
                <w:sz w:val="24"/>
              </w:rPr>
              <w:t>b.本项目地面清洗用水使用量约</w:t>
            </w:r>
            <w:r>
              <w:rPr>
                <w:rFonts w:hint="eastAsia" w:ascii="宋体" w:hAnsi="宋体"/>
                <w:sz w:val="24"/>
                <w:lang w:val="en-US" w:eastAsia="zh-CN"/>
              </w:rPr>
              <w:t>1</w:t>
            </w:r>
            <w:r>
              <w:rPr>
                <w:rFonts w:hint="eastAsia" w:ascii="宋体" w:hAnsi="宋体"/>
                <w:sz w:val="24"/>
              </w:rPr>
              <w:t>.0m</w:t>
            </w:r>
            <w:r>
              <w:rPr>
                <w:rFonts w:hint="eastAsia" w:ascii="宋体" w:hAnsi="宋体"/>
                <w:sz w:val="24"/>
                <w:vertAlign w:val="superscript"/>
              </w:rPr>
              <w:t>3</w:t>
            </w:r>
            <w:r>
              <w:rPr>
                <w:rFonts w:hint="eastAsia" w:ascii="宋体" w:hAnsi="宋体"/>
                <w:sz w:val="24"/>
              </w:rPr>
              <w:t>/次，清洗频次约每</w:t>
            </w:r>
            <w:r>
              <w:rPr>
                <w:rFonts w:hint="eastAsia" w:ascii="宋体" w:hAnsi="宋体"/>
                <w:sz w:val="24"/>
                <w:lang w:eastAsia="zh-CN"/>
              </w:rPr>
              <w:t>月</w:t>
            </w:r>
            <w:r>
              <w:rPr>
                <w:rFonts w:hint="eastAsia" w:ascii="宋体" w:hAnsi="宋体"/>
                <w:sz w:val="24"/>
              </w:rPr>
              <w:t>一次，地面清洗用水量为</w:t>
            </w:r>
            <w:r>
              <w:rPr>
                <w:rFonts w:hint="eastAsia" w:ascii="宋体" w:hAnsi="宋体"/>
                <w:sz w:val="24"/>
                <w:lang w:val="en-US" w:eastAsia="zh-CN"/>
              </w:rPr>
              <w:t>12</w:t>
            </w:r>
            <w:r>
              <w:rPr>
                <w:rFonts w:hint="eastAsia" w:ascii="宋体" w:hAnsi="宋体"/>
                <w:sz w:val="24"/>
              </w:rPr>
              <w:t>m</w:t>
            </w:r>
            <w:r>
              <w:rPr>
                <w:rFonts w:hint="eastAsia" w:ascii="宋体" w:hAnsi="宋体"/>
                <w:sz w:val="24"/>
                <w:vertAlign w:val="superscript"/>
              </w:rPr>
              <w:t>3</w:t>
            </w:r>
            <w:r>
              <w:rPr>
                <w:rFonts w:hint="eastAsia" w:ascii="宋体" w:hAnsi="宋体"/>
                <w:sz w:val="24"/>
              </w:rPr>
              <w:t>/a。</w:t>
            </w:r>
          </w:p>
          <w:p>
            <w:pPr>
              <w:spacing w:line="360" w:lineRule="auto"/>
              <w:ind w:firstLine="480" w:firstLineChars="200"/>
              <w:rPr>
                <w:rFonts w:hint="eastAsia" w:ascii="宋体" w:hAnsi="宋体"/>
                <w:sz w:val="24"/>
                <w:u w:val="single"/>
              </w:rPr>
            </w:pPr>
            <w:r>
              <w:rPr>
                <w:rFonts w:hint="eastAsia" w:ascii="宋体" w:hAnsi="宋体"/>
                <w:sz w:val="24"/>
                <w:u w:val="single"/>
              </w:rPr>
              <w:t>c.本项目拆解的均为报废农用车无需冲洗</w:t>
            </w:r>
            <w:r>
              <w:rPr>
                <w:rFonts w:hint="eastAsia" w:ascii="宋体" w:hAnsi="宋体"/>
                <w:sz w:val="24"/>
                <w:u w:val="single"/>
                <w:lang w:eastAsia="zh-CN"/>
              </w:rPr>
              <w:t>，拆解的零部件也无需冲洗</w:t>
            </w:r>
            <w:r>
              <w:rPr>
                <w:rFonts w:hint="eastAsia" w:ascii="宋体" w:hAnsi="宋体"/>
                <w:sz w:val="24"/>
                <w:u w:val="single"/>
              </w:rPr>
              <w:t>。</w:t>
            </w:r>
          </w:p>
          <w:p>
            <w:pPr>
              <w:spacing w:line="360" w:lineRule="auto"/>
              <w:ind w:firstLine="480" w:firstLineChars="200"/>
              <w:rPr>
                <w:rFonts w:ascii="宋体" w:hAnsi="宋体"/>
                <w:sz w:val="24"/>
              </w:rPr>
            </w:pPr>
            <w:r>
              <w:rPr>
                <w:rFonts w:hint="eastAsia" w:ascii="宋体" w:hAnsi="宋体"/>
                <w:sz w:val="24"/>
              </w:rPr>
              <w:t>综上，本项目最大年用水量为</w:t>
            </w:r>
            <w:r>
              <w:rPr>
                <w:rFonts w:hint="eastAsia" w:ascii="宋体" w:hAnsi="宋体"/>
                <w:sz w:val="24"/>
                <w:lang w:val="en-US" w:eastAsia="zh-CN"/>
              </w:rPr>
              <w:t>222</w:t>
            </w:r>
            <w:r>
              <w:rPr>
                <w:rFonts w:hint="eastAsia" w:ascii="宋体" w:hAnsi="宋体"/>
                <w:sz w:val="24"/>
              </w:rPr>
              <w:t>m</w:t>
            </w:r>
            <w:r>
              <w:rPr>
                <w:rFonts w:hint="eastAsia" w:ascii="宋体" w:hAnsi="宋体"/>
                <w:sz w:val="24"/>
                <w:vertAlign w:val="superscript"/>
              </w:rPr>
              <w:t>3</w:t>
            </w:r>
            <w:r>
              <w:rPr>
                <w:rFonts w:hint="eastAsia" w:ascii="宋体" w:hAnsi="宋体"/>
                <w:sz w:val="24"/>
              </w:rPr>
              <w:t>/a，供水来源为厂内现有水井。</w:t>
            </w:r>
          </w:p>
          <w:p>
            <w:pPr>
              <w:spacing w:line="460" w:lineRule="exact"/>
              <w:ind w:firstLine="482" w:firstLineChars="200"/>
              <w:rPr>
                <w:rFonts w:ascii="宋体" w:hAnsi="宋体"/>
                <w:sz w:val="24"/>
              </w:rPr>
            </w:pPr>
            <w:r>
              <w:rPr>
                <w:rFonts w:hint="eastAsia" w:ascii="宋体" w:hAnsi="宋体"/>
                <w:b/>
                <w:bCs/>
                <w:sz w:val="24"/>
              </w:rPr>
              <w:t>②排水</w:t>
            </w:r>
          </w:p>
          <w:p>
            <w:pPr>
              <w:spacing w:line="460" w:lineRule="exact"/>
              <w:ind w:firstLine="470" w:firstLineChars="196"/>
              <w:rPr>
                <w:rFonts w:ascii="宋体" w:hAnsi="宋体"/>
                <w:color w:val="000000" w:themeColor="text1"/>
                <w:kern w:val="0"/>
                <w:sz w:val="24"/>
              </w:rPr>
            </w:pPr>
            <w:r>
              <w:rPr>
                <w:rFonts w:hint="eastAsia" w:ascii="宋体" w:hAnsi="宋体"/>
                <w:kern w:val="0"/>
                <w:sz w:val="24"/>
              </w:rPr>
              <w:t>a.职工生活用水损耗按20%计，则生</w:t>
            </w:r>
            <w:r>
              <w:rPr>
                <w:rFonts w:hint="eastAsia" w:ascii="宋体" w:hAnsi="宋体"/>
                <w:color w:val="000000" w:themeColor="text1"/>
                <w:kern w:val="0"/>
                <w:sz w:val="24"/>
              </w:rPr>
              <w:t>活污水量为0.48m³/d（168m³/a），生活污水排入园区污水管网。</w:t>
            </w:r>
          </w:p>
          <w:p>
            <w:pPr>
              <w:tabs>
                <w:tab w:val="left" w:pos="3705"/>
              </w:tabs>
              <w:spacing w:line="460" w:lineRule="exact"/>
              <w:ind w:firstLine="470" w:firstLineChars="196"/>
              <w:rPr>
                <w:rFonts w:ascii="宋体" w:hAnsi="宋体"/>
                <w:kern w:val="0"/>
                <w:sz w:val="24"/>
                <w:u w:val="single"/>
              </w:rPr>
            </w:pPr>
            <w:r>
              <w:rPr>
                <w:rFonts w:hint="eastAsia" w:ascii="宋体" w:hAnsi="宋体"/>
                <w:kern w:val="0"/>
                <w:sz w:val="24"/>
              </w:rPr>
              <w:t>b.本项目地面清洗用水损失量按20%计，则地面清洗废水产生量为</w:t>
            </w:r>
            <w:r>
              <w:rPr>
                <w:rFonts w:hint="eastAsia" w:ascii="宋体" w:hAnsi="宋体"/>
                <w:kern w:val="0"/>
                <w:sz w:val="24"/>
                <w:lang w:val="en-US" w:eastAsia="zh-CN"/>
              </w:rPr>
              <w:t>0</w:t>
            </w:r>
            <w:r>
              <w:rPr>
                <w:rFonts w:hint="eastAsia" w:ascii="宋体" w:hAnsi="宋体"/>
                <w:kern w:val="0"/>
                <w:sz w:val="24"/>
              </w:rPr>
              <w:t>.</w:t>
            </w:r>
            <w:r>
              <w:rPr>
                <w:rFonts w:hint="eastAsia" w:ascii="宋体" w:hAnsi="宋体"/>
                <w:kern w:val="0"/>
                <w:sz w:val="24"/>
                <w:lang w:val="en-US" w:eastAsia="zh-CN"/>
              </w:rPr>
              <w:t>8</w:t>
            </w:r>
            <w:r>
              <w:rPr>
                <w:rFonts w:hint="eastAsia" w:ascii="宋体" w:hAnsi="宋体"/>
                <w:kern w:val="0"/>
                <w:sz w:val="24"/>
              </w:rPr>
              <w:t>m</w:t>
            </w:r>
            <w:r>
              <w:rPr>
                <w:rFonts w:hint="eastAsia" w:ascii="宋体" w:hAnsi="宋体"/>
                <w:kern w:val="0"/>
                <w:sz w:val="24"/>
                <w:vertAlign w:val="superscript"/>
              </w:rPr>
              <w:t>3</w:t>
            </w:r>
            <w:r>
              <w:rPr>
                <w:rFonts w:hint="eastAsia" w:ascii="宋体" w:hAnsi="宋体"/>
                <w:kern w:val="0"/>
                <w:sz w:val="24"/>
              </w:rPr>
              <w:t>/次，计</w:t>
            </w:r>
            <w:r>
              <w:rPr>
                <w:rFonts w:hint="eastAsia" w:ascii="宋体" w:hAnsi="宋体"/>
                <w:kern w:val="0"/>
                <w:sz w:val="24"/>
                <w:lang w:val="en-US" w:eastAsia="zh-CN"/>
              </w:rPr>
              <w:t>9.6</w:t>
            </w:r>
            <w:r>
              <w:rPr>
                <w:rFonts w:hint="eastAsia" w:ascii="宋体" w:hAnsi="宋体"/>
                <w:kern w:val="0"/>
                <w:sz w:val="24"/>
              </w:rPr>
              <w:t>m</w:t>
            </w:r>
            <w:r>
              <w:rPr>
                <w:rFonts w:hint="eastAsia" w:ascii="宋体" w:hAnsi="宋体"/>
                <w:kern w:val="0"/>
                <w:sz w:val="24"/>
                <w:vertAlign w:val="superscript"/>
              </w:rPr>
              <w:t>3</w:t>
            </w:r>
            <w:r>
              <w:rPr>
                <w:rFonts w:hint="eastAsia" w:ascii="宋体" w:hAnsi="宋体"/>
                <w:kern w:val="0"/>
                <w:sz w:val="24"/>
              </w:rPr>
              <w:t>/a。</w:t>
            </w:r>
            <w:r>
              <w:rPr>
                <w:rFonts w:hint="eastAsia" w:ascii="宋体" w:hAnsi="宋体"/>
                <w:kern w:val="0"/>
                <w:sz w:val="24"/>
                <w:u w:val="single"/>
              </w:rPr>
              <w:t>地面清洗废水排入拟建防渗沉淀池，经隔油+均质+絮凝沉淀+气浮后循环使用，不外排。</w:t>
            </w:r>
          </w:p>
          <w:p>
            <w:pPr>
              <w:tabs>
                <w:tab w:val="left" w:pos="3705"/>
              </w:tabs>
              <w:spacing w:line="460" w:lineRule="exact"/>
              <w:ind w:firstLine="472" w:firstLineChars="196"/>
              <w:rPr>
                <w:rFonts w:ascii="宋体" w:hAnsi="宋体"/>
                <w:b/>
                <w:bCs/>
                <w:kern w:val="0"/>
                <w:sz w:val="24"/>
                <w:u w:val="single"/>
              </w:rPr>
            </w:pPr>
            <w:r>
              <w:rPr>
                <w:rFonts w:hint="eastAsia" w:ascii="宋体" w:hAnsi="宋体"/>
                <w:b/>
                <w:bCs/>
                <w:kern w:val="0"/>
                <w:sz w:val="24"/>
                <w:u w:val="single"/>
              </w:rPr>
              <w:t>③初期雨水</w:t>
            </w:r>
          </w:p>
          <w:p>
            <w:pPr>
              <w:widowControl/>
              <w:spacing w:line="460" w:lineRule="exact"/>
              <w:ind w:firstLine="480" w:firstLineChars="200"/>
              <w:jc w:val="left"/>
              <w:rPr>
                <w:rFonts w:eastAsia="宋体"/>
                <w:u w:val="single"/>
              </w:rPr>
            </w:pPr>
            <w:r>
              <w:rPr>
                <w:rFonts w:hint="eastAsia" w:ascii="宋体" w:hAnsi="宋体" w:eastAsia="宋体" w:cs="宋体"/>
                <w:kern w:val="0"/>
                <w:sz w:val="24"/>
                <w:u w:val="single"/>
              </w:rPr>
              <w:t>项目采取</w:t>
            </w:r>
            <w:r>
              <w:rPr>
                <w:rFonts w:ascii="Times New Roman" w:hAnsi="Times New Roman" w:eastAsia="宋体" w:cs="Times New Roman"/>
                <w:kern w:val="0"/>
                <w:sz w:val="24"/>
                <w:u w:val="single"/>
              </w:rPr>
              <w:t>“</w:t>
            </w:r>
            <w:r>
              <w:rPr>
                <w:rFonts w:hint="eastAsia" w:ascii="宋体" w:hAnsi="宋体" w:eastAsia="宋体" w:cs="宋体"/>
                <w:kern w:val="0"/>
                <w:sz w:val="24"/>
                <w:u w:val="single"/>
              </w:rPr>
              <w:t>雨污分流</w:t>
            </w:r>
            <w:r>
              <w:rPr>
                <w:rFonts w:ascii="Times New Roman" w:hAnsi="Times New Roman" w:eastAsia="宋体" w:cs="Times New Roman"/>
                <w:kern w:val="0"/>
                <w:sz w:val="24"/>
                <w:u w:val="single"/>
              </w:rPr>
              <w:t>”</w:t>
            </w:r>
            <w:r>
              <w:rPr>
                <w:rFonts w:hint="eastAsia" w:ascii="宋体" w:hAnsi="宋体" w:eastAsia="宋体" w:cs="宋体"/>
                <w:kern w:val="0"/>
                <w:sz w:val="24"/>
                <w:u w:val="single"/>
              </w:rPr>
              <w:t>制度，为防止雨水直排对区域环境造成不利影响，环评建议在车间、报废车贮存区周围及道路等区域设置雨水收集沟，对厂区雨水进行收集处理。</w:t>
            </w:r>
          </w:p>
          <w:p>
            <w:pPr>
              <w:adjustRightInd w:val="0"/>
              <w:snapToGrid w:val="0"/>
              <w:spacing w:line="460" w:lineRule="exact"/>
              <w:ind w:firstLine="480" w:firstLineChars="200"/>
              <w:rPr>
                <w:rFonts w:ascii="宋体" w:hAnsi="宋体" w:eastAsia="宋体" w:cs="宋体"/>
                <w:color w:val="000000" w:themeColor="text1"/>
                <w:kern w:val="0"/>
                <w:sz w:val="24"/>
                <w:u w:val="single"/>
              </w:rPr>
            </w:pPr>
            <w:r>
              <w:rPr>
                <w:rFonts w:hint="eastAsia"/>
                <w:sz w:val="24"/>
                <w:u w:val="single"/>
              </w:rPr>
              <w:t>当降雨时，雨水形成的地表径流对地面冲刷，使污染物汇集于降雨径流中，为防止降雨形成的初期雨水排放产生环境影响，本环评要求建设单位对厂区内报废农机车停放场地和运输路线范围内的初期雨水进行收集。根据项目组成，</w:t>
            </w:r>
            <w:r>
              <w:rPr>
                <w:rFonts w:hint="eastAsia"/>
                <w:sz w:val="24"/>
                <w:u w:val="single"/>
                <w:lang w:eastAsia="zh-CN"/>
              </w:rPr>
              <w:t>露天存车场</w:t>
            </w:r>
            <w:r>
              <w:rPr>
                <w:rFonts w:hint="eastAsia" w:ascii="Times New Roman" w:hAnsi="Times New Roman" w:eastAsia="宋体" w:cs="Times New Roman"/>
                <w:color w:val="000000" w:themeColor="text1"/>
                <w:kern w:val="0"/>
                <w:sz w:val="24"/>
                <w:u w:val="single"/>
                <w:lang w:eastAsia="zh-CN"/>
              </w:rPr>
              <w:t>汇水</w:t>
            </w:r>
            <w:r>
              <w:rPr>
                <w:rFonts w:hint="eastAsia" w:ascii="Times New Roman" w:hAnsi="Times New Roman" w:eastAsia="宋体" w:cs="Times New Roman"/>
                <w:color w:val="000000" w:themeColor="text1"/>
                <w:kern w:val="0"/>
                <w:sz w:val="24"/>
                <w:u w:val="single"/>
              </w:rPr>
              <w:t>面积为</w:t>
            </w:r>
            <w:r>
              <w:rPr>
                <w:rFonts w:hint="eastAsia" w:ascii="Times New Roman" w:hAnsi="Times New Roman" w:eastAsia="宋体" w:cs="Times New Roman"/>
                <w:color w:val="000000" w:themeColor="text1"/>
                <w:kern w:val="0"/>
                <w:sz w:val="24"/>
                <w:u w:val="single"/>
                <w:lang w:val="en-US" w:eastAsia="zh-CN"/>
              </w:rPr>
              <w:t>3</w:t>
            </w:r>
            <w:r>
              <w:rPr>
                <w:rFonts w:hint="eastAsia" w:ascii="Times New Roman" w:hAnsi="Times New Roman" w:eastAsia="宋体" w:cs="Times New Roman"/>
                <w:color w:val="000000" w:themeColor="text1"/>
                <w:kern w:val="0"/>
                <w:sz w:val="24"/>
                <w:u w:val="single"/>
              </w:rPr>
              <w:t>0</w:t>
            </w:r>
            <w:r>
              <w:rPr>
                <w:rFonts w:hint="eastAsia" w:ascii="Times New Roman" w:hAnsi="Times New Roman" w:eastAsia="宋体" w:cs="Times New Roman"/>
                <w:color w:val="000000" w:themeColor="text1"/>
                <w:kern w:val="0"/>
                <w:sz w:val="24"/>
                <w:u w:val="single"/>
                <w:lang w:val="en-US" w:eastAsia="zh-CN"/>
              </w:rPr>
              <w:t>00</w:t>
            </w:r>
            <w:r>
              <w:rPr>
                <w:rFonts w:hint="eastAsia" w:ascii="Times New Roman" w:hAnsi="Times New Roman" w:eastAsia="宋体" w:cs="Times New Roman"/>
                <w:color w:val="000000" w:themeColor="text1"/>
                <w:kern w:val="0"/>
                <w:sz w:val="24"/>
                <w:u w:val="single"/>
              </w:rPr>
              <w:t>m</w:t>
            </w:r>
            <w:r>
              <w:rPr>
                <w:rFonts w:hint="eastAsia" w:ascii="Times New Roman" w:hAnsi="Times New Roman" w:eastAsia="宋体" w:cs="Times New Roman"/>
                <w:color w:val="000000" w:themeColor="text1"/>
                <w:kern w:val="0"/>
                <w:sz w:val="24"/>
                <w:u w:val="single"/>
                <w:vertAlign w:val="superscript"/>
              </w:rPr>
              <w:t>2</w:t>
            </w:r>
            <w:r>
              <w:rPr>
                <w:rFonts w:hint="eastAsia" w:ascii="Times New Roman" w:hAnsi="Times New Roman" w:eastAsia="宋体" w:cs="Times New Roman"/>
                <w:color w:val="000000" w:themeColor="text1"/>
                <w:kern w:val="0"/>
                <w:sz w:val="24"/>
                <w:u w:val="single"/>
              </w:rPr>
              <w:t>。厂区</w:t>
            </w:r>
            <w:r>
              <w:rPr>
                <w:rFonts w:hint="eastAsia" w:ascii="Times New Roman" w:hAnsi="Times New Roman" w:eastAsia="宋体" w:cs="Times New Roman"/>
                <w:color w:val="000000" w:themeColor="text1"/>
                <w:kern w:val="0"/>
                <w:sz w:val="24"/>
                <w:u w:val="single"/>
                <w:lang w:eastAsia="zh-CN"/>
              </w:rPr>
              <w:t>存车场</w:t>
            </w:r>
            <w:r>
              <w:rPr>
                <w:rFonts w:hint="eastAsia" w:ascii="Times New Roman" w:hAnsi="Times New Roman" w:eastAsia="宋体" w:cs="Times New Roman"/>
                <w:color w:val="000000" w:themeColor="text1"/>
                <w:kern w:val="0"/>
                <w:sz w:val="24"/>
                <w:u w:val="single"/>
              </w:rPr>
              <w:t>裸露地面雨水经集水沟收集</w:t>
            </w:r>
            <w:r>
              <w:rPr>
                <w:rFonts w:ascii="Times New Roman" w:hAnsi="Times New Roman" w:eastAsia="宋体" w:cs="Times New Roman"/>
                <w:color w:val="000000" w:themeColor="text1"/>
                <w:kern w:val="0"/>
                <w:sz w:val="24"/>
                <w:u w:val="single"/>
              </w:rPr>
              <w:t>15min</w:t>
            </w:r>
            <w:r>
              <w:rPr>
                <w:rFonts w:hint="eastAsia" w:ascii="Times New Roman" w:hAnsi="Times New Roman" w:eastAsia="宋体" w:cs="Times New Roman"/>
                <w:color w:val="000000" w:themeColor="text1"/>
                <w:kern w:val="0"/>
                <w:sz w:val="24"/>
                <w:u w:val="single"/>
              </w:rPr>
              <w:t>初期雨水至初</w:t>
            </w:r>
            <w:r>
              <w:rPr>
                <w:rFonts w:hint="eastAsia" w:ascii="宋体" w:hAnsi="宋体" w:eastAsia="宋体" w:cs="宋体"/>
                <w:color w:val="000000" w:themeColor="text1"/>
                <w:kern w:val="0"/>
                <w:sz w:val="24"/>
                <w:u w:val="single"/>
              </w:rPr>
              <w:t>期雨水池。项目采用历年最大暴雨的前</w:t>
            </w:r>
            <w:r>
              <w:rPr>
                <w:rFonts w:ascii="Times New Roman" w:hAnsi="Times New Roman" w:eastAsia="宋体" w:cs="Times New Roman"/>
                <w:color w:val="000000" w:themeColor="text1"/>
                <w:kern w:val="0"/>
                <w:sz w:val="24"/>
                <w:u w:val="single"/>
              </w:rPr>
              <w:t>15min</w:t>
            </w:r>
            <w:r>
              <w:rPr>
                <w:rFonts w:hint="eastAsia" w:ascii="宋体" w:hAnsi="宋体" w:eastAsia="宋体" w:cs="宋体"/>
                <w:color w:val="000000" w:themeColor="text1"/>
                <w:kern w:val="0"/>
                <w:sz w:val="24"/>
                <w:u w:val="single"/>
              </w:rPr>
              <w:t>雨量为一次最大初期雨水量。 根据《建筑与小区雨水利用工程技术规范》（</w:t>
            </w:r>
            <w:r>
              <w:rPr>
                <w:rFonts w:ascii="Times New Roman" w:hAnsi="Times New Roman" w:eastAsia="宋体" w:cs="Times New Roman"/>
                <w:color w:val="000000" w:themeColor="text1"/>
                <w:kern w:val="0"/>
                <w:sz w:val="24"/>
                <w:u w:val="single"/>
              </w:rPr>
              <w:t>GB50400-2006</w:t>
            </w:r>
            <w:r>
              <w:rPr>
                <w:rFonts w:hint="eastAsia" w:ascii="宋体" w:hAnsi="宋体" w:eastAsia="宋体" w:cs="宋体"/>
                <w:color w:val="000000" w:themeColor="text1"/>
                <w:kern w:val="0"/>
                <w:sz w:val="24"/>
                <w:u w:val="single"/>
              </w:rPr>
              <w:t xml:space="preserve">），地面弃流采用 </w:t>
            </w:r>
            <w:r>
              <w:rPr>
                <w:rFonts w:ascii="Times New Roman" w:hAnsi="Times New Roman" w:eastAsia="宋体" w:cs="Times New Roman"/>
                <w:color w:val="000000" w:themeColor="text1"/>
                <w:kern w:val="0"/>
                <w:sz w:val="24"/>
                <w:u w:val="single"/>
              </w:rPr>
              <w:t xml:space="preserve">3-5mm </w:t>
            </w:r>
            <w:r>
              <w:rPr>
                <w:rFonts w:hint="eastAsia" w:ascii="宋体" w:hAnsi="宋体" w:eastAsia="宋体" w:cs="宋体"/>
                <w:color w:val="000000" w:themeColor="text1"/>
                <w:kern w:val="0"/>
                <w:sz w:val="24"/>
                <w:u w:val="single"/>
              </w:rPr>
              <w:t xml:space="preserve">径流厚度，弃流量计算公式如下： </w:t>
            </w:r>
          </w:p>
          <w:p>
            <w:pPr>
              <w:adjustRightInd w:val="0"/>
              <w:snapToGrid w:val="0"/>
              <w:spacing w:line="460" w:lineRule="exact"/>
              <w:jc w:val="center"/>
              <w:rPr>
                <w:color w:val="000000" w:themeColor="text1"/>
                <w:sz w:val="24"/>
                <w:u w:val="single"/>
              </w:rPr>
            </w:pPr>
            <w:r>
              <w:rPr>
                <w:rFonts w:ascii="Times New Roman" w:hAnsi="Times New Roman" w:eastAsia="宋体" w:cs="Times New Roman"/>
                <w:color w:val="000000" w:themeColor="text1"/>
                <w:kern w:val="0"/>
                <w:sz w:val="24"/>
                <w:u w:val="single"/>
              </w:rPr>
              <w:t>W=10</w:t>
            </w:r>
            <w:r>
              <w:rPr>
                <w:rFonts w:hint="eastAsia" w:ascii="宋体" w:hAnsi="宋体" w:eastAsia="宋体" w:cs="宋体"/>
                <w:color w:val="000000" w:themeColor="text1"/>
                <w:kern w:val="0"/>
                <w:sz w:val="24"/>
                <w:u w:val="single"/>
              </w:rPr>
              <w:t>×δ×</w:t>
            </w:r>
            <w:r>
              <w:rPr>
                <w:rFonts w:ascii="Times New Roman" w:hAnsi="Times New Roman" w:eastAsia="宋体" w:cs="Times New Roman"/>
                <w:color w:val="000000" w:themeColor="text1"/>
                <w:kern w:val="0"/>
                <w:sz w:val="24"/>
                <w:u w:val="single"/>
              </w:rPr>
              <w:t>F</w:t>
            </w:r>
          </w:p>
          <w:p>
            <w:pPr>
              <w:widowControl/>
              <w:spacing w:line="460" w:lineRule="exact"/>
              <w:ind w:firstLine="960" w:firstLineChars="400"/>
              <w:jc w:val="left"/>
              <w:rPr>
                <w:color w:val="000000" w:themeColor="text1"/>
                <w:sz w:val="24"/>
                <w:u w:val="single"/>
              </w:rPr>
            </w:pPr>
            <w:r>
              <w:rPr>
                <w:rFonts w:hint="eastAsia" w:ascii="宋体" w:hAnsi="宋体" w:eastAsia="宋体" w:cs="宋体"/>
                <w:color w:val="000000" w:themeColor="text1"/>
                <w:kern w:val="0"/>
                <w:sz w:val="24"/>
                <w:u w:val="single"/>
              </w:rPr>
              <w:t>式中：δ径流厚度，</w:t>
            </w:r>
            <w:r>
              <w:rPr>
                <w:rFonts w:ascii="Times New Roman" w:hAnsi="Times New Roman" w:eastAsia="宋体" w:cs="Times New Roman"/>
                <w:color w:val="000000" w:themeColor="text1"/>
                <w:kern w:val="0"/>
                <w:sz w:val="24"/>
                <w:u w:val="single"/>
              </w:rPr>
              <w:t>5mm</w:t>
            </w:r>
            <w:r>
              <w:rPr>
                <w:rFonts w:hint="eastAsia" w:ascii="宋体" w:hAnsi="宋体" w:eastAsia="宋体" w:cs="宋体"/>
                <w:color w:val="000000" w:themeColor="text1"/>
                <w:kern w:val="0"/>
                <w:sz w:val="24"/>
                <w:u w:val="single"/>
              </w:rPr>
              <w:t xml:space="preserve">； </w:t>
            </w:r>
          </w:p>
          <w:p>
            <w:pPr>
              <w:widowControl/>
              <w:spacing w:line="460" w:lineRule="exact"/>
              <w:ind w:firstLine="1680" w:firstLineChars="700"/>
              <w:jc w:val="left"/>
              <w:rPr>
                <w:color w:val="000000" w:themeColor="text1"/>
                <w:sz w:val="24"/>
                <w:u w:val="single"/>
              </w:rPr>
            </w:pPr>
            <w:r>
              <w:rPr>
                <w:rFonts w:ascii="Times New Roman" w:hAnsi="Times New Roman" w:eastAsia="宋体" w:cs="Times New Roman"/>
                <w:color w:val="000000" w:themeColor="text1"/>
                <w:kern w:val="0"/>
                <w:sz w:val="24"/>
                <w:u w:val="single"/>
              </w:rPr>
              <w:t>F</w:t>
            </w:r>
            <w:r>
              <w:rPr>
                <w:rFonts w:hint="eastAsia" w:ascii="宋体" w:hAnsi="宋体" w:eastAsia="宋体" w:cs="宋体"/>
                <w:color w:val="000000" w:themeColor="text1"/>
                <w:kern w:val="0"/>
                <w:sz w:val="24"/>
                <w:u w:val="single"/>
              </w:rPr>
              <w:t>：径流面积，</w:t>
            </w:r>
            <w:r>
              <w:rPr>
                <w:rFonts w:hint="eastAsia" w:ascii="宋体" w:hAnsi="宋体" w:eastAsia="宋体" w:cs="宋体"/>
                <w:color w:val="000000" w:themeColor="text1"/>
                <w:kern w:val="0"/>
                <w:sz w:val="24"/>
                <w:u w:val="single"/>
                <w:lang w:val="en-US" w:eastAsia="zh-CN"/>
              </w:rPr>
              <w:t>0.3</w:t>
            </w:r>
            <w:r>
              <w:rPr>
                <w:rFonts w:ascii="Times New Roman" w:hAnsi="Times New Roman" w:eastAsia="宋体" w:cs="Times New Roman"/>
                <w:color w:val="000000" w:themeColor="text1"/>
                <w:kern w:val="0"/>
                <w:sz w:val="24"/>
                <w:u w:val="single"/>
              </w:rPr>
              <w:t>hm</w:t>
            </w:r>
            <w:r>
              <w:rPr>
                <w:rFonts w:ascii="Times New Roman" w:hAnsi="Times New Roman" w:eastAsia="宋体" w:cs="Times New Roman"/>
                <w:color w:val="000000" w:themeColor="text1"/>
                <w:kern w:val="0"/>
                <w:sz w:val="24"/>
                <w:u w:val="single"/>
                <w:vertAlign w:val="superscript"/>
              </w:rPr>
              <w:t>2</w:t>
            </w:r>
            <w:r>
              <w:rPr>
                <w:rFonts w:hint="eastAsia" w:ascii="宋体" w:hAnsi="宋体" w:eastAsia="宋体" w:cs="宋体"/>
                <w:color w:val="000000" w:themeColor="text1"/>
                <w:kern w:val="0"/>
                <w:sz w:val="24"/>
                <w:u w:val="single"/>
              </w:rPr>
              <w:t xml:space="preserve">； </w:t>
            </w:r>
          </w:p>
          <w:p>
            <w:pPr>
              <w:widowControl/>
              <w:spacing w:line="460" w:lineRule="exact"/>
              <w:ind w:firstLine="1680" w:firstLineChars="700"/>
              <w:jc w:val="left"/>
              <w:rPr>
                <w:color w:val="000000" w:themeColor="text1"/>
                <w:sz w:val="24"/>
                <w:u w:val="single"/>
              </w:rPr>
            </w:pPr>
            <w:r>
              <w:rPr>
                <w:rFonts w:ascii="Times New Roman" w:hAnsi="Times New Roman" w:eastAsia="宋体" w:cs="Times New Roman"/>
                <w:color w:val="000000" w:themeColor="text1"/>
                <w:kern w:val="0"/>
                <w:sz w:val="24"/>
                <w:u w:val="single"/>
              </w:rPr>
              <w:t>W</w:t>
            </w:r>
            <w:r>
              <w:rPr>
                <w:rFonts w:hint="eastAsia" w:ascii="宋体" w:hAnsi="宋体" w:eastAsia="宋体" w:cs="宋体"/>
                <w:color w:val="000000" w:themeColor="text1"/>
                <w:kern w:val="0"/>
                <w:sz w:val="24"/>
                <w:u w:val="single"/>
              </w:rPr>
              <w:t>：初期径流弃流量，</w:t>
            </w:r>
            <w:r>
              <w:rPr>
                <w:rFonts w:ascii="Times New Roman" w:hAnsi="Times New Roman" w:eastAsia="宋体" w:cs="Times New Roman"/>
                <w:color w:val="000000" w:themeColor="text1"/>
                <w:kern w:val="0"/>
                <w:sz w:val="24"/>
                <w:u w:val="single"/>
              </w:rPr>
              <w:t>m</w:t>
            </w:r>
            <w:r>
              <w:rPr>
                <w:rFonts w:ascii="Times New Roman" w:hAnsi="Times New Roman" w:eastAsia="宋体" w:cs="Times New Roman"/>
                <w:color w:val="000000" w:themeColor="text1"/>
                <w:kern w:val="0"/>
                <w:sz w:val="24"/>
                <w:u w:val="single"/>
                <w:vertAlign w:val="superscript"/>
              </w:rPr>
              <w:t>3</w:t>
            </w:r>
            <w:r>
              <w:rPr>
                <w:rFonts w:hint="eastAsia" w:ascii="宋体" w:hAnsi="宋体" w:eastAsia="宋体" w:cs="宋体"/>
                <w:color w:val="000000" w:themeColor="text1"/>
                <w:kern w:val="0"/>
                <w:sz w:val="24"/>
                <w:u w:val="single"/>
              </w:rPr>
              <w:t xml:space="preserve">。 </w:t>
            </w:r>
          </w:p>
          <w:p>
            <w:pPr>
              <w:pStyle w:val="7"/>
              <w:widowControl/>
              <w:adjustRightInd w:val="0"/>
              <w:snapToGrid w:val="0"/>
              <w:spacing w:line="460" w:lineRule="exact"/>
              <w:ind w:firstLine="480"/>
              <w:jc w:val="left"/>
              <w:rPr>
                <w:sz w:val="24"/>
                <w:u w:val="single"/>
              </w:rPr>
            </w:pPr>
            <w:r>
              <w:rPr>
                <w:rFonts w:hint="eastAsia" w:ascii="宋体" w:hAnsi="宋体" w:eastAsia="宋体" w:cs="宋体"/>
                <w:color w:val="000000" w:themeColor="text1"/>
                <w:spacing w:val="-6"/>
                <w:kern w:val="0"/>
                <w:sz w:val="24"/>
                <w:u w:val="single"/>
              </w:rPr>
              <w:t>经计算，初期雨水径流量为</w:t>
            </w:r>
            <w:r>
              <w:rPr>
                <w:rFonts w:hint="eastAsia"/>
                <w:spacing w:val="-6"/>
                <w:sz w:val="24"/>
                <w:u w:val="single"/>
                <w:lang w:val="en-US" w:eastAsia="zh-CN"/>
              </w:rPr>
              <w:t>15</w:t>
            </w:r>
            <w:r>
              <w:rPr>
                <w:rFonts w:ascii="Times New Roman" w:hAnsi="Times New Roman" w:eastAsia="宋体" w:cs="Times New Roman"/>
                <w:color w:val="000000" w:themeColor="text1"/>
                <w:spacing w:val="-6"/>
                <w:kern w:val="0"/>
                <w:sz w:val="24"/>
                <w:u w:val="single"/>
              </w:rPr>
              <w:t>m</w:t>
            </w:r>
            <w:r>
              <w:rPr>
                <w:rFonts w:ascii="Times New Roman" w:hAnsi="Times New Roman" w:eastAsia="宋体" w:cs="Times New Roman"/>
                <w:color w:val="000000" w:themeColor="text1"/>
                <w:spacing w:val="-6"/>
                <w:kern w:val="0"/>
                <w:sz w:val="24"/>
                <w:u w:val="single"/>
                <w:vertAlign w:val="superscript"/>
              </w:rPr>
              <w:t>3</w:t>
            </w:r>
            <w:r>
              <w:rPr>
                <w:rFonts w:hint="eastAsia" w:ascii="宋体" w:hAnsi="宋体" w:eastAsia="宋体" w:cs="宋体"/>
                <w:color w:val="000000" w:themeColor="text1"/>
                <w:spacing w:val="-6"/>
                <w:kern w:val="0"/>
                <w:sz w:val="24"/>
                <w:u w:val="single"/>
              </w:rPr>
              <w:t>，</w:t>
            </w:r>
            <w:r>
              <w:rPr>
                <w:rFonts w:hint="eastAsia"/>
                <w:spacing w:val="-6"/>
                <w:sz w:val="24"/>
                <w:u w:val="single"/>
              </w:rPr>
              <w:t>雨水经收集后排入防渗沉淀池</w:t>
            </w:r>
            <w:r>
              <w:rPr>
                <w:rFonts w:hint="eastAsia"/>
                <w:spacing w:val="-6"/>
                <w:sz w:val="24"/>
                <w:u w:val="single"/>
                <w:lang w:eastAsia="zh-CN"/>
              </w:rPr>
              <w:t>（</w:t>
            </w:r>
            <w:r>
              <w:rPr>
                <w:rFonts w:hint="eastAsia"/>
                <w:spacing w:val="-6"/>
                <w:sz w:val="24"/>
                <w:u w:val="single"/>
                <w:lang w:val="en-US" w:eastAsia="zh-CN"/>
              </w:rPr>
              <w:t>20</w:t>
            </w:r>
            <w:r>
              <w:rPr>
                <w:rFonts w:ascii="Times New Roman" w:hAnsi="Times New Roman" w:eastAsia="宋体" w:cs="Times New Roman"/>
                <w:color w:val="000000" w:themeColor="text1"/>
                <w:spacing w:val="-6"/>
                <w:kern w:val="0"/>
                <w:sz w:val="24"/>
                <w:u w:val="single"/>
              </w:rPr>
              <w:t>m</w:t>
            </w:r>
            <w:r>
              <w:rPr>
                <w:rFonts w:ascii="Times New Roman" w:hAnsi="Times New Roman" w:eastAsia="宋体" w:cs="Times New Roman"/>
                <w:color w:val="000000" w:themeColor="text1"/>
                <w:spacing w:val="-6"/>
                <w:kern w:val="0"/>
                <w:sz w:val="24"/>
                <w:u w:val="single"/>
                <w:vertAlign w:val="superscript"/>
              </w:rPr>
              <w:t>3</w:t>
            </w:r>
            <w:r>
              <w:rPr>
                <w:rFonts w:hint="eastAsia"/>
                <w:spacing w:val="-6"/>
                <w:sz w:val="24"/>
                <w:u w:val="single"/>
              </w:rPr>
              <w:t>）</w:t>
            </w:r>
            <w:r>
              <w:rPr>
                <w:rFonts w:hint="eastAsia"/>
                <w:sz w:val="24"/>
                <w:u w:val="single"/>
              </w:rPr>
              <w:t>，防渗沉淀池防渗等级须满足</w:t>
            </w:r>
            <w:r>
              <w:rPr>
                <w:rFonts w:hint="eastAsia" w:ascii="宋体" w:hAnsi="宋体" w:cs="宋体"/>
                <w:bCs/>
                <w:sz w:val="24"/>
                <w:szCs w:val="28"/>
                <w:u w:val="single"/>
              </w:rPr>
              <w:t>等效黏土防渗层Mb≥1.5m，K≤1×10</w:t>
            </w:r>
            <w:r>
              <w:rPr>
                <w:rFonts w:hint="eastAsia" w:ascii="宋体" w:hAnsi="宋体" w:cs="宋体"/>
                <w:bCs/>
                <w:sz w:val="24"/>
                <w:szCs w:val="28"/>
                <w:u w:val="single"/>
                <w:vertAlign w:val="superscript"/>
              </w:rPr>
              <w:t>-7</w:t>
            </w:r>
            <w:r>
              <w:rPr>
                <w:rFonts w:hint="eastAsia" w:ascii="宋体" w:hAnsi="宋体" w:cs="宋体"/>
                <w:bCs/>
                <w:sz w:val="24"/>
                <w:szCs w:val="28"/>
                <w:u w:val="single"/>
              </w:rPr>
              <w:t>cm/s。</w:t>
            </w:r>
            <w:r>
              <w:rPr>
                <w:rFonts w:hint="eastAsia"/>
                <w:sz w:val="24"/>
                <w:u w:val="single"/>
              </w:rPr>
              <w:t>经隔油</w:t>
            </w:r>
            <w:r>
              <w:rPr>
                <w:rFonts w:hint="eastAsia"/>
                <w:sz w:val="24"/>
                <w:u w:val="single"/>
                <w:lang w:val="en-US" w:eastAsia="zh-CN"/>
              </w:rPr>
              <w:t>+</w:t>
            </w:r>
            <w:r>
              <w:rPr>
                <w:rFonts w:hint="eastAsia"/>
                <w:sz w:val="24"/>
                <w:u w:val="single"/>
              </w:rPr>
              <w:t>均质</w:t>
            </w:r>
            <w:r>
              <w:rPr>
                <w:rFonts w:hint="eastAsia"/>
                <w:sz w:val="24"/>
                <w:u w:val="single"/>
                <w:lang w:val="en-US" w:eastAsia="zh-CN"/>
              </w:rPr>
              <w:t>+</w:t>
            </w:r>
            <w:r>
              <w:rPr>
                <w:rFonts w:hint="eastAsia"/>
                <w:sz w:val="24"/>
                <w:u w:val="single"/>
              </w:rPr>
              <w:t>絮凝</w:t>
            </w:r>
            <w:r>
              <w:rPr>
                <w:rFonts w:hint="eastAsia"/>
                <w:sz w:val="24"/>
                <w:u w:val="single"/>
                <w:lang w:val="en-US" w:eastAsia="zh-CN"/>
              </w:rPr>
              <w:t>+</w:t>
            </w:r>
            <w:r>
              <w:rPr>
                <w:rFonts w:hint="eastAsia"/>
                <w:sz w:val="24"/>
                <w:u w:val="single"/>
              </w:rPr>
              <w:t>气浮沉淀后，回用于车间地面清洗，循环使用不外排。</w:t>
            </w:r>
          </w:p>
          <w:p>
            <w:pPr>
              <w:tabs>
                <w:tab w:val="left" w:pos="3705"/>
              </w:tabs>
              <w:spacing w:line="460" w:lineRule="exact"/>
              <w:ind w:firstLine="470" w:firstLineChars="196"/>
              <w:rPr>
                <w:rFonts w:ascii="宋体" w:hAnsi="宋体"/>
                <w:sz w:val="24"/>
                <w:u w:val="single"/>
              </w:rPr>
            </w:pPr>
            <w:r>
              <w:rPr>
                <w:rFonts w:hint="eastAsia" w:ascii="宋体" w:hAnsi="宋体"/>
                <w:sz w:val="24"/>
                <w:u w:val="single"/>
              </w:rPr>
              <w:t>本项目水平衡见下表：</w:t>
            </w:r>
          </w:p>
          <w:p>
            <w:pPr>
              <w:tabs>
                <w:tab w:val="left" w:pos="3705"/>
              </w:tabs>
              <w:jc w:val="center"/>
            </w:pPr>
          </w:p>
          <w:p>
            <w:pPr>
              <w:tabs>
                <w:tab w:val="left" w:pos="3705"/>
              </w:tabs>
              <w:jc w:val="center"/>
            </w:pPr>
            <w:r>
              <w:pict>
                <v:rect id="_x0000_s1055" o:spid="_x0000_s1055" o:spt="1" style="position:absolute;left:0pt;margin-left:207.4pt;margin-top:4.8pt;height:17.8pt;width:25.4pt;z-index:251685888;mso-width-relative:page;mso-height-relative:page;" stroked="t" coordsize="21600,21600">
                  <v:path/>
                  <v:fill focussize="0,0"/>
                  <v:stroke color="#FFFFFF"/>
                  <v:imagedata o:title=""/>
                  <o:lock v:ext="edit"/>
                  <v:textbox inset="0mm,0mm,0mm,0mm">
                    <w:txbxContent>
                      <w:p>
                        <w:r>
                          <w:rPr>
                            <w:rFonts w:hint="eastAsia"/>
                          </w:rPr>
                          <w:t>168</w:t>
                        </w:r>
                      </w:p>
                    </w:txbxContent>
                  </v:textbox>
                </v:rect>
              </w:pict>
            </w:r>
            <w:r>
              <w:pict>
                <v:rect id="_x0000_s1049" o:spid="_x0000_s1049" o:spt="1" style="position:absolute;left:0pt;margin-left:104.75pt;margin-top:8.6pt;height:17.8pt;width:22.1pt;z-index:251679744;mso-width-relative:page;mso-height-relative:page;" stroked="t" coordsize="21600,21600">
                  <v:path/>
                  <v:fill focussize="0,0"/>
                  <v:stroke color="#FFFFFF"/>
                  <v:imagedata o:title=""/>
                  <o:lock v:ext="edit"/>
                  <v:textbox inset="0mm,0mm,0mm,0mm">
                    <w:txbxContent>
                      <w:p>
                        <w:r>
                          <w:rPr>
                            <w:rFonts w:hint="eastAsia"/>
                          </w:rPr>
                          <w:t>210</w:t>
                        </w:r>
                      </w:p>
                    </w:txbxContent>
                  </v:textbox>
                </v:rect>
              </w:pict>
            </w:r>
            <w:r>
              <w:pict>
                <v:line id="_x0000_s1051" o:spid="_x0000_s1051" o:spt="20" style="position:absolute;left:0pt;flip:y;margin-left:134.95pt;margin-top:2.95pt;height:13.85pt;width:30.45pt;z-index:251681792;mso-width-relative:page;mso-height-relative:page;" coordsize="21600,21600">
                  <v:path arrowok="t"/>
                  <v:fill focussize="0,0"/>
                  <v:stroke dashstyle="dash" endarrow="open"/>
                  <v:imagedata o:title=""/>
                  <o:lock v:ext="edit"/>
                </v:line>
              </w:pict>
            </w:r>
          </w:p>
          <w:p>
            <w:pPr>
              <w:tabs>
                <w:tab w:val="left" w:pos="3705"/>
              </w:tabs>
              <w:jc w:val="center"/>
            </w:pPr>
            <w:r>
              <w:pict>
                <v:rect id="_x0000_s1059" o:spid="_x0000_s1059" o:spt="1" style="position:absolute;left:0pt;margin-left:236.85pt;margin-top:0.2pt;height:21.65pt;width:79.45pt;z-index:251689984;mso-width-relative:page;mso-height-relative:page;" coordsize="21600,21600">
                  <v:path/>
                  <v:fill focussize="0,0"/>
                  <v:stroke/>
                  <v:imagedata o:title=""/>
                  <o:lock v:ext="edit"/>
                  <v:textbox>
                    <w:txbxContent>
                      <w:p>
                        <w:r>
                          <w:rPr>
                            <w:rFonts w:hint="eastAsia"/>
                          </w:rPr>
                          <w:t>园区污水管网</w:t>
                        </w:r>
                      </w:p>
                    </w:txbxContent>
                  </v:textbox>
                </v:rect>
              </w:pict>
            </w:r>
            <w:r>
              <w:pict>
                <v:line id="_x0000_s1037" o:spid="_x0000_s1037" o:spt="20" style="position:absolute;left:0pt;margin-left:192.7pt;margin-top:12.2pt;height:0.05pt;width:44.5pt;z-index:251669504;mso-width-relative:page;mso-height-relative:page;" coordsize="21600,21600">
                  <v:path arrowok="t"/>
                  <v:fill focussize="0,0"/>
                  <v:stroke endarrow="block"/>
                  <v:imagedata o:title=""/>
                  <o:lock v:ext="edit"/>
                </v:line>
              </w:pict>
            </w:r>
            <w:r>
              <w:pict>
                <v:line id="_x0000_s1033" o:spid="_x0000_s1033" o:spt="20" style="position:absolute;left:0pt;margin-left:103.8pt;margin-top:13.95pt;height:0.05pt;width:29.35pt;z-index:251665408;mso-width-relative:page;mso-height-relative:page;" filled="t" coordsize="21600,21600">
                  <v:path arrowok="t"/>
                  <v:fill on="t" focussize="0,0"/>
                  <v:stroke endarrow="open"/>
                  <v:imagedata o:title=""/>
                  <o:lock v:ext="edit"/>
                </v:line>
              </w:pict>
            </w:r>
            <w:r>
              <w:pict>
                <v:line id="_x0000_s1032" o:spid="_x0000_s1032" o:spt="20" style="position:absolute;left:0pt;flip:x;margin-left:102.7pt;margin-top:13.9pt;height:74.95pt;width:0.5pt;z-index:251664384;mso-width-relative:page;mso-height-relative:page;" filled="t" coordsize="21600,21600">
                  <v:path arrowok="t"/>
                  <v:fill on="t" focussize="0,0"/>
                  <v:stroke/>
                  <v:imagedata o:title=""/>
                  <o:lock v:ext="edit"/>
                </v:line>
              </w:pict>
            </w:r>
            <w:r>
              <w:pict>
                <v:rect id="_x0000_s1035" o:spid="_x0000_s1035" o:spt="1" style="position:absolute;left:0pt;margin-left:133.75pt;margin-top:1.5pt;height:21.65pt;width:58.25pt;z-index:251667456;mso-width-relative:page;mso-height-relative:page;" coordsize="21600,21600">
                  <v:path/>
                  <v:fill focussize="0,0"/>
                  <v:stroke/>
                  <v:imagedata o:title=""/>
                  <o:lock v:ext="edit"/>
                  <v:textbox>
                    <w:txbxContent>
                      <w:p>
                        <w:r>
                          <w:rPr>
                            <w:rFonts w:hint="eastAsia"/>
                          </w:rPr>
                          <w:t>生活用水</w:t>
                        </w:r>
                      </w:p>
                    </w:txbxContent>
                  </v:textbox>
                </v:rect>
              </w:pict>
            </w:r>
          </w:p>
          <w:p>
            <w:pPr>
              <w:tabs>
                <w:tab w:val="left" w:pos="3705"/>
              </w:tabs>
              <w:jc w:val="center"/>
            </w:pPr>
            <w:r>
              <w:pict>
                <v:rect id="_x0000_s1062" o:spid="_x0000_s1062" o:spt="1" style="position:absolute;left:0pt;margin-left:207.4pt;margin-top:15.6pt;height:17.8pt;width:48.55pt;z-index:251693056;mso-width-relative:page;mso-height-relative:page;" stroked="t" coordsize="21600,21600">
                  <v:path/>
                  <v:fill focussize="0,0"/>
                  <v:stroke color="#FFFFFF"/>
                  <v:imagedata o:title=""/>
                  <o:lock v:ext="edit"/>
                  <v:textbox inset="0mm,0mm,0mm,0mm">
                    <w:txbxContent>
                      <w:p>
                        <w:r>
                          <w:rPr>
                            <w:rFonts w:hint="eastAsia"/>
                          </w:rPr>
                          <w:t>循环使用</w:t>
                        </w:r>
                      </w:p>
                    </w:txbxContent>
                  </v:textbox>
                </v:rect>
              </w:pict>
            </w:r>
            <w:r>
              <w:pict>
                <v:rect id="_x0000_s1048" o:spid="_x0000_s1048" o:spt="1" style="position:absolute;left:0pt;margin-left:68.15pt;margin-top:10.25pt;height:21.65pt;width:32.05pt;z-index:251678720;mso-width-relative:page;mso-height-relative:page;" stroked="t" coordsize="21600,21600">
                  <v:path/>
                  <v:fill focussize="0,0"/>
                  <v:stroke color="#FFFFFF"/>
                  <v:imagedata o:title=""/>
                  <o:lock v:ext="edit"/>
                  <v:textbox>
                    <w:txbxContent>
                      <w:p>
                        <w:r>
                          <w:rPr>
                            <w:rFonts w:hint="eastAsia"/>
                          </w:rPr>
                          <w:t>310</w:t>
                        </w:r>
                      </w:p>
                    </w:txbxContent>
                  </v:textbox>
                </v:rect>
              </w:pict>
            </w:r>
          </w:p>
          <w:p>
            <w:pPr>
              <w:pStyle w:val="2"/>
              <w:ind w:firstLine="420"/>
              <w:rPr>
                <w:sz w:val="21"/>
              </w:rPr>
            </w:pPr>
            <w:r>
              <w:rPr>
                <w:sz w:val="21"/>
              </w:rPr>
              <w:pict>
                <v:line id="_x0000_s1061" o:spid="_x0000_s1061" o:spt="20" style="position:absolute;left:0pt;flip:y;margin-left:191.65pt;margin-top:21.35pt;height:18.4pt;width:0.5pt;z-index:251692032;mso-width-relative:page;mso-height-relative:page;" coordsize="21600,21600">
                  <v:path arrowok="t"/>
                  <v:fill focussize="0,0"/>
                  <v:stroke dashstyle="dash" startarrow="block"/>
                  <v:imagedata o:title=""/>
                  <o:lock v:ext="edit"/>
                </v:line>
              </w:pict>
            </w:r>
            <w:r>
              <w:rPr>
                <w:sz w:val="21"/>
              </w:rPr>
              <w:pict>
                <v:line id="_x0000_s1060" o:spid="_x0000_s1060" o:spt="20" style="position:absolute;left:0pt;margin-left:192.5pt;margin-top:19.7pt;height:0.1pt;width:78.95pt;z-index:251691008;mso-width-relative:page;mso-height-relative:page;" coordsize="21600,21600">
                  <v:path arrowok="t"/>
                  <v:fill focussize="0,0"/>
                  <v:stroke dashstyle="dash"/>
                  <v:imagedata o:title=""/>
                  <o:lock v:ext="edit"/>
                </v:line>
              </w:pict>
            </w:r>
            <w:r>
              <w:rPr>
                <w:sz w:val="21"/>
              </w:rPr>
              <w:pict>
                <v:line id="_x0000_s1039" o:spid="_x0000_s1039" o:spt="20" style="position:absolute;left:0pt;flip:x;margin-left:270.9pt;margin-top:21.05pt;height:19pt;width:0.75pt;z-index:251671552;mso-width-relative:page;mso-height-relative:page;" coordsize="21600,21600">
                  <v:path arrowok="t"/>
                  <v:fill focussize="0,0"/>
                  <v:stroke dashstyle="dash"/>
                  <v:imagedata o:title=""/>
                  <o:lock v:ext="edit"/>
                </v:line>
              </w:pict>
            </w:r>
            <w:r>
              <w:rPr>
                <w:sz w:val="21"/>
              </w:rPr>
              <w:pict>
                <v:rect id="_x0000_s1053" o:spid="_x0000_s1053" o:spt="1" style="position:absolute;left:0pt;margin-left:169pt;margin-top:15.15pt;height:17.8pt;width:17.65pt;z-index:251684864;mso-width-relative:page;mso-height-relative:page;" stroked="t" coordsize="21600,21600">
                  <v:path/>
                  <v:fill focussize="0,0"/>
                  <v:stroke color="#FFFFFF"/>
                  <v:imagedata o:title=""/>
                  <o:lock v:ext="edit"/>
                  <v:textbox inset="0mm,0mm,0mm,0mm">
                    <w:txbxContent>
                      <w:p>
                        <w:pPr>
                          <w:rPr>
                            <w:rFonts w:hint="default" w:eastAsiaTheme="minorEastAsia"/>
                            <w:lang w:val="en-US" w:eastAsia="zh-CN"/>
                          </w:rPr>
                        </w:pPr>
                        <w:r>
                          <w:rPr>
                            <w:rFonts w:hint="eastAsia"/>
                            <w:lang w:val="en-US" w:eastAsia="zh-CN"/>
                          </w:rPr>
                          <w:t>2.4</w:t>
                        </w:r>
                      </w:p>
                    </w:txbxContent>
                  </v:textbox>
                </v:rect>
              </w:pict>
            </w:r>
            <w:r>
              <w:rPr>
                <w:sz w:val="21"/>
              </w:rPr>
              <w:pict>
                <v:line id="_x0000_s1054" o:spid="_x0000_s1054" o:spt="20" style="position:absolute;left:0pt;flip:y;margin-left:134.4pt;margin-top:25pt;height:13.85pt;width:30.45pt;z-index:251683840;mso-width-relative:page;mso-height-relative:page;" coordsize="21600,21600">
                  <v:path arrowok="t"/>
                  <v:fill focussize="0,0"/>
                  <v:stroke dashstyle="dash" endarrow="open"/>
                  <v:imagedata o:title=""/>
                  <o:lock v:ext="edit"/>
                </v:line>
              </w:pict>
            </w:r>
            <w:r>
              <w:rPr>
                <w:sz w:val="21"/>
              </w:rPr>
              <w:pict>
                <v:rect id="_x0000_s1030" o:spid="_x0000_s1030" o:spt="1" style="position:absolute;left:0pt;margin-left:18.2pt;margin-top:10.2pt;height:21.65pt;width:48.3pt;z-index:251661312;mso-width-relative:page;mso-height-relative:page;" coordsize="21600,21600">
                  <v:path/>
                  <v:fill focussize="0,0"/>
                  <v:stroke/>
                  <v:imagedata o:title=""/>
                  <o:lock v:ext="edit"/>
                  <v:textbox>
                    <w:txbxContent>
                      <w:p>
                        <w:r>
                          <w:rPr>
                            <w:rFonts w:hint="eastAsia"/>
                          </w:rPr>
                          <w:t>新鲜水</w:t>
                        </w:r>
                      </w:p>
                    </w:txbxContent>
                  </v:textbox>
                </v:rect>
              </w:pict>
            </w:r>
            <w:r>
              <w:rPr>
                <w:sz w:val="21"/>
              </w:rPr>
              <w:pict>
                <v:line id="_x0000_s1031" o:spid="_x0000_s1031" o:spt="20" style="position:absolute;left:0pt;margin-left:67.7pt;margin-top:20.45pt;height:0.05pt;width:34.9pt;z-index:251663360;mso-width-relative:page;mso-height-relative:page;" filled="t" coordsize="21600,21600">
                  <v:path arrowok="t"/>
                  <v:fill on="t" focussize="0,0"/>
                  <v:stroke endarrow="open"/>
                  <v:imagedata o:title=""/>
                  <o:lock v:ext="edit"/>
                </v:line>
              </w:pict>
            </w:r>
          </w:p>
          <w:p>
            <w:pPr>
              <w:pStyle w:val="3"/>
              <w:spacing w:before="62" w:after="62"/>
              <w:rPr>
                <w:sz w:val="21"/>
              </w:rPr>
            </w:pPr>
            <w:r>
              <w:rPr>
                <w:sz w:val="21"/>
              </w:rPr>
              <w:pict>
                <v:rect id="_x0000_s1040" o:spid="_x0000_s1040" o:spt="1" style="position:absolute;left:0pt;margin-left:237.4pt;margin-top:14.55pt;height:37.65pt;width:77.15pt;z-index:251672576;mso-width-relative:page;mso-height-relative:page;" coordsize="21600,21600">
                  <v:path/>
                  <v:fill focussize="0,0"/>
                  <v:stroke/>
                  <v:imagedata o:title=""/>
                  <o:lock v:ext="edit"/>
                  <v:textbox inset="0mm,0mm,0mm,0mm">
                    <w:txbxContent>
                      <w:p>
                        <w:pPr>
                          <w:jc w:val="center"/>
                        </w:pPr>
                        <w:r>
                          <w:rPr>
                            <w:rFonts w:hint="eastAsia"/>
                          </w:rPr>
                          <w:t>隔油、均质、絮凝沉淀、气浮</w:t>
                        </w:r>
                      </w:p>
                    </w:txbxContent>
                  </v:textbox>
                </v:rect>
              </w:pict>
            </w:r>
            <w:r>
              <w:rPr>
                <w:sz w:val="21"/>
              </w:rPr>
              <w:pict>
                <v:rect id="_x0000_s1056" o:spid="_x0000_s1056" o:spt="1" style="position:absolute;left:0pt;margin-left:209.55pt;margin-top:8.5pt;height:17.8pt;width:17.65pt;z-index:251686912;mso-width-relative:page;mso-height-relative:page;" stroked="t" coordsize="21600,21600">
                  <v:path/>
                  <v:fill focussize="0,0"/>
                  <v:stroke color="#FFFFFF"/>
                  <v:imagedata o:title=""/>
                  <o:lock v:ext="edit"/>
                  <v:textbox inset="0mm,0mm,0mm,0mm">
                    <w:txbxContent>
                      <w:p>
                        <w:pPr>
                          <w:rPr>
                            <w:rFonts w:hint="default" w:eastAsiaTheme="minorEastAsia"/>
                            <w:lang w:val="en-US" w:eastAsia="zh-CN"/>
                          </w:rPr>
                        </w:pPr>
                        <w:r>
                          <w:rPr>
                            <w:rFonts w:hint="eastAsia"/>
                            <w:lang w:val="en-US" w:eastAsia="zh-CN"/>
                          </w:rPr>
                          <w:t>9.6</w:t>
                        </w:r>
                      </w:p>
                    </w:txbxContent>
                  </v:textbox>
                </v:rect>
              </w:pict>
            </w:r>
            <w:r>
              <w:rPr>
                <w:sz w:val="21"/>
              </w:rPr>
              <w:pict>
                <v:rect id="_x0000_s1050" o:spid="_x0000_s1050" o:spt="1" style="position:absolute;left:0pt;margin-left:107.05pt;margin-top:9.05pt;height:18.35pt;width:24.85pt;z-index:251680768;mso-width-relative:page;mso-height-relative:page;" stroked="t" coordsize="21600,21600">
                  <v:path/>
                  <v:fill focussize="0,0"/>
                  <v:stroke color="#FFFFFF"/>
                  <v:imagedata o:title=""/>
                  <o:lock v:ext="edit"/>
                  <v:textbox inset="0mm,0mm,0mm,0mm">
                    <w:txbxContent>
                      <w:p>
                        <w:r>
                          <w:rPr>
                            <w:rFonts w:hint="eastAsia"/>
                          </w:rPr>
                          <w:t>1</w:t>
                        </w:r>
                        <w:r>
                          <w:rPr>
                            <w:rFonts w:hint="eastAsia"/>
                            <w:lang w:val="en-US" w:eastAsia="zh-CN"/>
                          </w:rPr>
                          <w:t>2</w:t>
                        </w:r>
                      </w:p>
                    </w:txbxContent>
                  </v:textbox>
                </v:rect>
              </w:pict>
            </w:r>
            <w:r>
              <w:rPr>
                <w:sz w:val="21"/>
              </w:rPr>
              <w:pict>
                <v:rect id="_x0000_s1036" o:spid="_x0000_s1036" o:spt="1" style="position:absolute;left:0pt;margin-left:133.2pt;margin-top:14pt;height:37.65pt;width:69.65pt;z-index:251668480;mso-width-relative:page;mso-height-relative:page;" coordsize="21600,21600">
                  <v:path/>
                  <v:fill focussize="0,0"/>
                  <v:stroke/>
                  <v:imagedata o:title=""/>
                  <o:lock v:ext="edit"/>
                  <v:textbox>
                    <w:txbxContent>
                      <w:p>
                        <w:pPr>
                          <w:jc w:val="center"/>
                        </w:pPr>
                        <w:r>
                          <w:rPr>
                            <w:rFonts w:hint="eastAsia"/>
                          </w:rPr>
                          <w:t>拆解车间</w:t>
                        </w:r>
                      </w:p>
                      <w:p>
                        <w:pPr>
                          <w:jc w:val="center"/>
                        </w:pPr>
                        <w:r>
                          <w:rPr>
                            <w:rFonts w:hint="eastAsia"/>
                          </w:rPr>
                          <w:t>地面清洗水</w:t>
                        </w:r>
                      </w:p>
                    </w:txbxContent>
                  </v:textbox>
                </v:rect>
              </w:pict>
            </w:r>
          </w:p>
          <w:p>
            <w:pPr>
              <w:pStyle w:val="3"/>
              <w:spacing w:before="62" w:after="62"/>
              <w:rPr>
                <w:sz w:val="21"/>
              </w:rPr>
            </w:pPr>
            <w:r>
              <w:rPr>
                <w:sz w:val="21"/>
              </w:rPr>
              <w:pict>
                <v:line id="_x0000_s1038" o:spid="_x0000_s1038" o:spt="20" style="position:absolute;left:0pt;flip:y;margin-left:202.75pt;margin-top:9.9pt;height:0.5pt;width:34.3pt;z-index:251670528;mso-width-relative:page;mso-height-relative:page;" coordsize="21600,21600">
                  <v:path arrowok="t"/>
                  <v:fill focussize="0,0"/>
                  <v:stroke endarrow="block"/>
                  <v:imagedata o:title=""/>
                  <o:lock v:ext="edit"/>
                </v:line>
              </w:pict>
            </w:r>
            <w:r>
              <w:rPr>
                <w:sz w:val="21"/>
              </w:rPr>
              <w:pict>
                <v:line id="_x0000_s1034" o:spid="_x0000_s1034" o:spt="20" style="position:absolute;left:0pt;margin-left:103.8pt;margin-top:11.3pt;height:0.05pt;width:29.35pt;z-index:251666432;mso-width-relative:page;mso-height-relative:page;" filled="t" coordsize="21600,21600">
                  <v:path arrowok="t"/>
                  <v:fill on="t" focussize="0,0"/>
                  <v:stroke endarrow="open"/>
                  <v:imagedata o:title=""/>
                  <o:lock v:ext="edit"/>
                </v:line>
              </w:pict>
            </w:r>
          </w:p>
          <w:p>
            <w:pPr>
              <w:pStyle w:val="3"/>
              <w:spacing w:before="62" w:after="62"/>
              <w:rPr>
                <w:sz w:val="21"/>
              </w:rPr>
            </w:pPr>
            <w:r>
              <w:rPr>
                <w:sz w:val="21"/>
              </w:rPr>
              <w:pict>
                <v:rect id="_x0000_s1068" o:spid="_x0000_s1068" o:spt="1" style="position:absolute;left:0pt;margin-left:196pt;margin-top:13.1pt;height:13pt;width:43.65pt;z-index:251697152;mso-width-relative:page;mso-height-relative:page;" stroked="t" coordsize="21600,21600">
                  <v:path/>
                  <v:fill focussize="0,0"/>
                  <v:stroke color="#FFFFFF"/>
                  <v:imagedata o:title=""/>
                  <o:lock v:ext="edit"/>
                  <v:textbox inset="0mm,0mm,0mm,0mm">
                    <w:txbxContent>
                      <w:p>
                        <w:r>
                          <w:rPr>
                            <w:rFonts w:hint="eastAsia"/>
                          </w:rPr>
                          <w:t>循环使用</w:t>
                        </w:r>
                      </w:p>
                    </w:txbxContent>
                  </v:textbox>
                </v:rect>
              </w:pict>
            </w:r>
            <w:r>
              <w:rPr>
                <w:sz w:val="21"/>
              </w:rPr>
              <w:pict>
                <v:line id="_x0000_s1067" o:spid="_x0000_s1067" o:spt="20" style="position:absolute;left:0pt;flip:y;margin-left:177.3pt;margin-top:10.9pt;height:27.7pt;width:1.1pt;z-index:251696128;mso-width-relative:page;mso-height-relative:page;" coordsize="21600,21600">
                  <v:path arrowok="t"/>
                  <v:fill focussize="0,0"/>
                  <v:stroke dashstyle="dash" startarrow="block" endarrow="block"/>
                  <v:imagedata o:title=""/>
                  <o:lock v:ext="edit"/>
                </v:line>
              </w:pict>
            </w:r>
            <w:r>
              <w:rPr>
                <w:sz w:val="21"/>
              </w:rPr>
              <w:pict>
                <v:line id="_x0000_s1064" o:spid="_x0000_s1064" o:spt="20" style="position:absolute;left:0pt;margin-left:256.6pt;margin-top:11.65pt;height:16.55pt;width:0.5pt;z-index:251695104;mso-width-relative:page;mso-height-relative:page;" coordsize="21600,21600">
                  <v:path arrowok="t"/>
                  <v:fill focussize="0,0"/>
                  <v:stroke dashstyle="dash" startarrow="block"/>
                  <v:imagedata o:title=""/>
                  <o:lock v:ext="edit"/>
                </v:line>
              </w:pict>
            </w:r>
            <w:r>
              <w:rPr>
                <w:sz w:val="21"/>
              </w:rPr>
              <w:pict>
                <v:line id="_x0000_s1045" o:spid="_x0000_s1045" o:spt="20" style="position:absolute;left:0pt;flip:x y;margin-left:270.35pt;margin-top:11.8pt;height:36.55pt;width:0.05pt;z-index:251677696;mso-width-relative:page;mso-height-relative:page;" coordsize="21600,21600">
                  <v:path arrowok="t"/>
                  <v:fill focussize="0,0"/>
                  <v:stroke endarrow="open"/>
                  <v:imagedata o:title=""/>
                  <o:lock v:ext="edit"/>
                </v:line>
              </w:pict>
            </w:r>
          </w:p>
          <w:p>
            <w:pPr>
              <w:tabs>
                <w:tab w:val="left" w:pos="3705"/>
              </w:tabs>
              <w:wordWrap w:val="0"/>
              <w:jc w:val="right"/>
              <w:rPr>
                <w:b/>
              </w:rPr>
            </w:pPr>
            <w:r>
              <w:pict>
                <v:line id="_x0000_s1063" o:spid="_x0000_s1063" o:spt="20" style="position:absolute;left:0pt;margin-left:181.85pt;margin-top:8.65pt;height:0.1pt;width:78.95pt;z-index:251694080;mso-width-relative:page;mso-height-relative:page;" coordsize="21600,21600">
                  <v:path arrowok="t"/>
                  <v:fill focussize="0,0"/>
                  <v:stroke dashstyle="dash"/>
                  <v:imagedata o:title=""/>
                  <o:lock v:ext="edit"/>
                </v:line>
              </w:pict>
            </w:r>
            <w:r>
              <w:pict>
                <v:rect id="_x0000_s1058" o:spid="_x0000_s1058" o:spt="1" style="position:absolute;left:0pt;margin-left:222.6pt;margin-top:6.55pt;height:18.35pt;width:24.85pt;z-index:251688960;mso-width-relative:page;mso-height-relative:page;" stroked="t" coordsize="21600,21600">
                  <v:path/>
                  <v:fill focussize="0,0"/>
                  <v:stroke color="#FFFFFF"/>
                  <v:imagedata o:title=""/>
                  <o:lock v:ext="edit"/>
                  <v:textbox inset="0mm,0mm,0mm,0mm">
                    <w:txbxContent>
                      <w:p>
                        <w:pPr>
                          <w:rPr>
                            <w:rFonts w:hint="default" w:eastAsiaTheme="minorEastAsia"/>
                            <w:color w:val="000000" w:themeColor="text1"/>
                            <w:lang w:val="en-US" w:eastAsia="zh-CN"/>
                          </w:rPr>
                        </w:pPr>
                        <w:r>
                          <w:rPr>
                            <w:rFonts w:hint="eastAsia"/>
                            <w:color w:val="000000" w:themeColor="text1"/>
                            <w:lang w:val="en-US" w:eastAsia="zh-CN"/>
                          </w:rPr>
                          <w:t>15</w:t>
                        </w:r>
                      </w:p>
                    </w:txbxContent>
                  </v:textbox>
                </v:rect>
              </w:pict>
            </w:r>
            <w:r>
              <w:pict>
                <v:rect id="_x0000_s1057" o:spid="_x0000_s1057" o:spt="1" style="position:absolute;left:0pt;margin-left:89.85pt;margin-top:2.65pt;height:18.35pt;width:24.85pt;z-index:251687936;mso-width-relative:page;mso-height-relative:page;" stroked="t" coordsize="21600,21600">
                  <v:path/>
                  <v:fill focussize="0,0"/>
                  <v:stroke color="#FFFFFF"/>
                  <v:imagedata o:title=""/>
                  <o:lock v:ext="edit"/>
                  <v:textbox inset="0mm,0mm,0mm,0mm">
                    <w:txbxContent>
                      <w:p>
                        <w:pPr>
                          <w:rPr>
                            <w:rFonts w:hint="default" w:eastAsiaTheme="minorEastAsia"/>
                            <w:color w:val="000000" w:themeColor="text1"/>
                            <w:lang w:val="en-US" w:eastAsia="zh-CN"/>
                          </w:rPr>
                        </w:pPr>
                        <w:r>
                          <w:rPr>
                            <w:rFonts w:hint="eastAsia"/>
                            <w:color w:val="000000" w:themeColor="text1"/>
                            <w:lang w:val="en-US" w:eastAsia="zh-CN"/>
                          </w:rPr>
                          <w:t>15</w:t>
                        </w:r>
                      </w:p>
                    </w:txbxContent>
                  </v:textbox>
                </v:rect>
              </w:pict>
            </w:r>
          </w:p>
          <w:p>
            <w:pPr>
              <w:pStyle w:val="2"/>
              <w:ind w:firstLine="420"/>
              <w:rPr>
                <w:b/>
              </w:rPr>
            </w:pPr>
            <w:r>
              <w:rPr>
                <w:sz w:val="21"/>
              </w:rPr>
              <w:pict>
                <v:rect id="_x0000_s1041" o:spid="_x0000_s1041" o:spt="1" style="position:absolute;left:0pt;margin-left:18.2pt;margin-top:1.55pt;height:22.2pt;width:59.4pt;z-index:25167360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color w:val="000000" w:themeColor="text1"/>
                          </w:rPr>
                          <w:t>初期</w:t>
                        </w:r>
                        <w:r>
                          <w:rPr>
                            <w:rFonts w:hint="eastAsia"/>
                          </w:rPr>
                          <w:t>雨水</w:t>
                        </w:r>
                      </w:p>
                    </w:txbxContent>
                  </v:textbox>
                </v:rect>
              </w:pict>
            </w:r>
            <w:r>
              <w:rPr>
                <w:sz w:val="21"/>
              </w:rPr>
              <w:pict>
                <v:line id="_x0000_s1042" o:spid="_x0000_s1042" o:spt="20" style="position:absolute;left:0pt;flip:y;margin-left:79.3pt;margin-top:12.3pt;height:0.55pt;width:46.15pt;z-index:251674624;mso-width-relative:page;mso-height-relative:page;" coordsize="21600,21600">
                  <v:path arrowok="t"/>
                  <v:fill focussize="0,0"/>
                  <v:stroke endarrow="open"/>
                  <v:imagedata o:title=""/>
                  <o:lock v:ext="edit"/>
                </v:line>
              </w:pict>
            </w:r>
            <w:r>
              <w:rPr>
                <w:sz w:val="21"/>
              </w:rPr>
              <w:pict>
                <v:rect id="_x0000_s1043" o:spid="_x0000_s1043" o:spt="1" style="position:absolute;left:0pt;margin-left:125.95pt;margin-top:2.1pt;height:21.65pt;width:77.2pt;z-index:251675648;mso-width-relative:page;mso-height-relative:page;" coordsize="21600,21600">
                  <v:path/>
                  <v:fill focussize="0,0"/>
                  <v:stroke/>
                  <v:imagedata o:title=""/>
                  <o:lock v:ext="edit"/>
                  <v:textbox>
                    <w:txbxContent>
                      <w:p>
                        <w:pPr>
                          <w:jc w:val="center"/>
                        </w:pPr>
                        <w:r>
                          <w:rPr>
                            <w:rFonts w:hint="eastAsia"/>
                          </w:rPr>
                          <w:t>雨水收集沟</w:t>
                        </w:r>
                      </w:p>
                    </w:txbxContent>
                  </v:textbox>
                </v:rect>
              </w:pict>
            </w:r>
            <w:r>
              <w:rPr>
                <w:sz w:val="21"/>
              </w:rPr>
              <w:pict>
                <v:line id="_x0000_s1044" o:spid="_x0000_s1044" o:spt="20" style="position:absolute;left:0pt;flip:y;margin-left:204.4pt;margin-top:13pt;height:0.5pt;width:65.95pt;z-index:251676672;mso-width-relative:page;mso-height-relative:page;" coordsize="21600,21600">
                  <v:path arrowok="t"/>
                  <v:fill focussize="0,0"/>
                  <v:stroke/>
                  <v:imagedata o:title=""/>
                  <o:lock v:ext="edit"/>
                </v:line>
              </w:pict>
            </w:r>
          </w:p>
          <w:p>
            <w:pPr>
              <w:tabs>
                <w:tab w:val="left" w:pos="3705"/>
              </w:tabs>
              <w:wordWrap w:val="0"/>
              <w:jc w:val="right"/>
              <w:rPr>
                <w:b/>
              </w:rPr>
            </w:pPr>
          </w:p>
          <w:p>
            <w:pPr>
              <w:tabs>
                <w:tab w:val="left" w:pos="3705"/>
              </w:tabs>
              <w:wordWrap w:val="0"/>
              <w:jc w:val="right"/>
              <w:rPr>
                <w:rFonts w:ascii="宋体" w:hAnsi="宋体"/>
                <w:b/>
                <w:sz w:val="24"/>
              </w:rPr>
            </w:pPr>
            <w:r>
              <w:rPr>
                <w:rFonts w:hint="eastAsia"/>
                <w:b/>
                <w:sz w:val="24"/>
                <w:u w:val="single"/>
              </w:rPr>
              <w:t>图1    本项目水平衡图           单位：m</w:t>
            </w:r>
            <w:r>
              <w:rPr>
                <w:rFonts w:hint="eastAsia"/>
                <w:b/>
                <w:sz w:val="24"/>
                <w:u w:val="single"/>
                <w:vertAlign w:val="superscript"/>
              </w:rPr>
              <w:t>3</w:t>
            </w:r>
            <w:r>
              <w:rPr>
                <w:rFonts w:hint="eastAsia"/>
                <w:b/>
                <w:sz w:val="24"/>
                <w:u w:val="single"/>
              </w:rPr>
              <w:t xml:space="preserve">/a  </w:t>
            </w:r>
          </w:p>
          <w:p>
            <w:pPr>
              <w:tabs>
                <w:tab w:val="left" w:pos="3705"/>
              </w:tabs>
              <w:spacing w:line="440" w:lineRule="exact"/>
              <w:ind w:firstLine="472" w:firstLineChars="196"/>
              <w:rPr>
                <w:rFonts w:ascii="宋体" w:hAnsi="宋体"/>
                <w:b/>
                <w:bCs/>
                <w:sz w:val="24"/>
              </w:rPr>
            </w:pPr>
          </w:p>
          <w:p>
            <w:pPr>
              <w:tabs>
                <w:tab w:val="left" w:pos="3705"/>
              </w:tabs>
              <w:spacing w:line="460" w:lineRule="exact"/>
              <w:ind w:firstLine="472" w:firstLineChars="196"/>
              <w:rPr>
                <w:rFonts w:ascii="宋体" w:hAnsi="宋体"/>
                <w:b/>
                <w:bCs/>
                <w:sz w:val="24"/>
              </w:rPr>
            </w:pPr>
            <w:r>
              <w:rPr>
                <w:rFonts w:ascii="宋体" w:hAnsi="宋体"/>
                <w:b/>
                <w:bCs/>
                <w:sz w:val="24"/>
              </w:rPr>
              <w:t>（</w:t>
            </w:r>
            <w:r>
              <w:rPr>
                <w:rFonts w:hint="eastAsia" w:ascii="宋体" w:hAnsi="宋体"/>
                <w:b/>
                <w:bCs/>
                <w:sz w:val="24"/>
              </w:rPr>
              <w:t>2</w:t>
            </w:r>
            <w:r>
              <w:rPr>
                <w:rFonts w:ascii="宋体" w:hAnsi="宋体"/>
                <w:b/>
                <w:bCs/>
                <w:sz w:val="24"/>
              </w:rPr>
              <w:t>）供电</w:t>
            </w:r>
          </w:p>
          <w:p>
            <w:pPr>
              <w:adjustRightInd w:val="0"/>
              <w:snapToGrid w:val="0"/>
              <w:spacing w:line="460" w:lineRule="exact"/>
              <w:ind w:firstLine="480"/>
              <w:rPr>
                <w:sz w:val="24"/>
              </w:rPr>
            </w:pPr>
            <w:r>
              <w:rPr>
                <w:rFonts w:hint="eastAsia" w:ascii="宋体" w:hAnsi="宋体"/>
                <w:sz w:val="24"/>
              </w:rPr>
              <w:t>本项目用电系统由当地农电网络接入，可以满</w:t>
            </w:r>
            <w:r>
              <w:rPr>
                <w:rFonts w:hint="eastAsia"/>
                <w:sz w:val="24"/>
              </w:rPr>
              <w:t>足本项目生产、生活用电。</w:t>
            </w:r>
          </w:p>
          <w:p>
            <w:pPr>
              <w:spacing w:line="460" w:lineRule="exact"/>
              <w:ind w:firstLine="472" w:firstLineChars="196"/>
              <w:rPr>
                <w:sz w:val="24"/>
              </w:rPr>
            </w:pPr>
            <w:r>
              <w:rPr>
                <w:b/>
                <w:bCs/>
                <w:sz w:val="24"/>
              </w:rPr>
              <w:t>（</w:t>
            </w:r>
            <w:r>
              <w:rPr>
                <w:rFonts w:hint="eastAsia"/>
                <w:b/>
                <w:bCs/>
                <w:sz w:val="24"/>
              </w:rPr>
              <w:t>3</w:t>
            </w:r>
            <w:r>
              <w:rPr>
                <w:b/>
                <w:bCs/>
                <w:sz w:val="24"/>
              </w:rPr>
              <w:t>）供热</w:t>
            </w:r>
          </w:p>
          <w:p>
            <w:pPr>
              <w:spacing w:line="460" w:lineRule="exact"/>
              <w:ind w:firstLine="470" w:firstLineChars="196"/>
              <w:rPr>
                <w:sz w:val="24"/>
              </w:rPr>
            </w:pPr>
            <w:r>
              <w:rPr>
                <w:sz w:val="24"/>
              </w:rPr>
              <w:t>本项目冬季不生产</w:t>
            </w:r>
            <w:r>
              <w:rPr>
                <w:rFonts w:hint="eastAsia"/>
                <w:sz w:val="24"/>
              </w:rPr>
              <w:t>，</w:t>
            </w:r>
            <w:r>
              <w:rPr>
                <w:sz w:val="24"/>
              </w:rPr>
              <w:t>不需进行冬季供暖</w:t>
            </w:r>
            <w:r>
              <w:rPr>
                <w:rFonts w:hint="eastAsia"/>
                <w:sz w:val="24"/>
              </w:rPr>
              <w:t>。</w:t>
            </w:r>
          </w:p>
          <w:p>
            <w:pPr>
              <w:spacing w:line="460" w:lineRule="exact"/>
              <w:ind w:firstLine="482" w:firstLineChars="200"/>
              <w:rPr>
                <w:b/>
                <w:sz w:val="24"/>
              </w:rPr>
            </w:pPr>
            <w:r>
              <w:rPr>
                <w:rFonts w:hint="eastAsia"/>
                <w:b/>
                <w:sz w:val="24"/>
              </w:rPr>
              <w:t>7、劳动定员以及工作制度</w:t>
            </w:r>
          </w:p>
          <w:p>
            <w:pPr>
              <w:spacing w:line="460" w:lineRule="exact"/>
              <w:ind w:firstLine="470" w:firstLineChars="196"/>
              <w:rPr>
                <w:sz w:val="24"/>
              </w:rPr>
            </w:pPr>
            <w:r>
              <w:rPr>
                <w:rFonts w:hint="eastAsia"/>
                <w:sz w:val="24"/>
              </w:rPr>
              <w:t>本项目劳动定员20人，单班制，每班8小时，年生产天数为350天。</w:t>
            </w:r>
          </w:p>
          <w:p>
            <w:pPr>
              <w:adjustRightInd w:val="0"/>
              <w:snapToGrid w:val="0"/>
              <w:spacing w:line="460" w:lineRule="exact"/>
              <w:ind w:firstLine="482" w:firstLineChars="200"/>
              <w:rPr>
                <w:b/>
                <w:sz w:val="24"/>
              </w:rPr>
            </w:pPr>
            <w:r>
              <w:rPr>
                <w:rFonts w:hint="eastAsia"/>
                <w:b/>
                <w:sz w:val="24"/>
              </w:rPr>
              <w:t>8、施工进度</w:t>
            </w:r>
          </w:p>
          <w:p>
            <w:pPr>
              <w:adjustRightInd w:val="0"/>
              <w:snapToGrid w:val="0"/>
              <w:spacing w:line="460" w:lineRule="exact"/>
              <w:ind w:firstLine="480" w:firstLineChars="200"/>
              <w:rPr>
                <w:sz w:val="24"/>
              </w:rPr>
            </w:pPr>
            <w:r>
              <w:rPr>
                <w:rFonts w:hint="eastAsia" w:ascii="宋体" w:hAnsi="宋体" w:cs="宋体"/>
                <w:kern w:val="0"/>
                <w:sz w:val="24"/>
              </w:rPr>
              <w:t>本工程主要施工内容为：利用现有厂房进行拆解车间、危险废物暂存间和拆解物仓库建设，建设报废农机停车场。</w:t>
            </w:r>
            <w:r>
              <w:rPr>
                <w:rFonts w:hint="eastAsia"/>
                <w:sz w:val="24"/>
              </w:rPr>
              <w:t>施工时间1个月。</w:t>
            </w:r>
          </w:p>
          <w:p>
            <w:pPr>
              <w:adjustRightInd w:val="0"/>
              <w:snapToGrid w:val="0"/>
              <w:spacing w:line="460" w:lineRule="exact"/>
              <w:ind w:firstLine="482" w:firstLineChars="200"/>
              <w:rPr>
                <w:b/>
                <w:sz w:val="24"/>
              </w:rPr>
            </w:pPr>
            <w:r>
              <w:rPr>
                <w:rFonts w:hint="eastAsia"/>
                <w:b/>
                <w:sz w:val="24"/>
              </w:rPr>
              <w:t>9、平面布置</w:t>
            </w:r>
          </w:p>
          <w:p>
            <w:pPr>
              <w:adjustRightInd w:val="0"/>
              <w:snapToGrid w:val="0"/>
              <w:spacing w:line="460" w:lineRule="exact"/>
              <w:ind w:firstLine="456" w:firstLineChars="200"/>
              <w:rPr>
                <w:rFonts w:hint="eastAsia"/>
                <w:sz w:val="24"/>
              </w:rPr>
            </w:pPr>
            <w:r>
              <w:rPr>
                <w:rFonts w:hint="eastAsia"/>
                <w:spacing w:val="-6"/>
                <w:sz w:val="24"/>
              </w:rPr>
              <w:t>本项目位于</w:t>
            </w:r>
            <w:r>
              <w:rPr>
                <w:rFonts w:ascii="Times New Roman" w:hAnsi="Times New Roman" w:eastAsia="宋体" w:cs="Times New Roman"/>
                <w:spacing w:val="-6"/>
                <w:sz w:val="24"/>
              </w:rPr>
              <w:t>白城</w:t>
            </w:r>
            <w:r>
              <w:rPr>
                <w:rFonts w:hint="eastAsia" w:ascii="Times New Roman" w:hAnsi="Times New Roman" w:eastAsia="宋体" w:cs="Times New Roman"/>
                <w:spacing w:val="-6"/>
                <w:sz w:val="24"/>
              </w:rPr>
              <w:t>工业园区东海路北99号</w:t>
            </w:r>
            <w:r>
              <w:rPr>
                <w:rFonts w:hint="eastAsia"/>
                <w:spacing w:val="-6"/>
                <w:sz w:val="24"/>
              </w:rPr>
              <w:t>，本项目总占地面积为</w:t>
            </w:r>
            <w:r>
              <w:rPr>
                <w:rFonts w:hint="eastAsia" w:ascii="Times New Roman" w:hAnsi="Times New Roman" w:eastAsia="宋体" w:cs="Times New Roman"/>
                <w:spacing w:val="-6"/>
                <w:sz w:val="24"/>
              </w:rPr>
              <w:t>10114.9</w:t>
            </w:r>
            <w:r>
              <w:rPr>
                <w:rFonts w:hint="eastAsia"/>
                <w:spacing w:val="-6"/>
                <w:sz w:val="24"/>
              </w:rPr>
              <w:t>m</w:t>
            </w:r>
            <w:r>
              <w:rPr>
                <w:rFonts w:hint="eastAsia"/>
                <w:spacing w:val="-6"/>
                <w:sz w:val="24"/>
                <w:vertAlign w:val="superscript"/>
              </w:rPr>
              <w:t>2</w:t>
            </w:r>
            <w:r>
              <w:rPr>
                <w:rFonts w:hint="eastAsia"/>
                <w:sz w:val="24"/>
              </w:rPr>
              <w:t>，</w:t>
            </w:r>
            <w:r>
              <w:rPr>
                <w:rFonts w:hint="eastAsia"/>
                <w:sz w:val="24"/>
                <w:lang w:eastAsia="zh-CN"/>
              </w:rPr>
              <w:t>平面布置详见附图</w:t>
            </w:r>
            <w:r>
              <w:rPr>
                <w:rFonts w:hint="eastAsia"/>
                <w:sz w:val="24"/>
                <w:lang w:val="en-US" w:eastAsia="zh-CN"/>
              </w:rPr>
              <w:t>3</w:t>
            </w:r>
            <w:r>
              <w:rPr>
                <w:rFonts w:hint="eastAsia"/>
                <w:sz w:val="24"/>
              </w:rPr>
              <w:t>。</w:t>
            </w:r>
          </w:p>
          <w:p>
            <w:pPr>
              <w:adjustRightInd w:val="0"/>
              <w:snapToGrid w:val="0"/>
              <w:spacing w:line="460" w:lineRule="exact"/>
              <w:ind w:firstLine="456" w:firstLineChars="200"/>
              <w:rPr>
                <w:sz w:val="24"/>
              </w:rPr>
            </w:pPr>
            <w:r>
              <w:rPr>
                <w:rFonts w:hint="eastAsia"/>
                <w:spacing w:val="-6"/>
                <w:sz w:val="24"/>
              </w:rPr>
              <w:t>本项目厂区中间及库</w:t>
            </w:r>
            <w:r>
              <w:rPr>
                <w:rFonts w:hint="eastAsia"/>
                <w:spacing w:val="-6"/>
                <w:sz w:val="24"/>
                <w:lang w:eastAsia="zh-CN"/>
              </w:rPr>
              <w:t>房</w:t>
            </w:r>
            <w:r>
              <w:rPr>
                <w:rFonts w:hint="eastAsia"/>
                <w:spacing w:val="-6"/>
                <w:sz w:val="24"/>
              </w:rPr>
              <w:t>门前</w:t>
            </w:r>
            <w:r>
              <w:rPr>
                <w:rFonts w:hint="eastAsia"/>
                <w:spacing w:val="-6"/>
                <w:sz w:val="24"/>
                <w:lang w:eastAsia="zh-CN"/>
              </w:rPr>
              <w:t>地面</w:t>
            </w:r>
            <w:r>
              <w:rPr>
                <w:rFonts w:hint="eastAsia"/>
                <w:spacing w:val="-6"/>
                <w:sz w:val="24"/>
              </w:rPr>
              <w:t>为报废农机停车场、废机油收储车间（又称危废间）位于厂区</w:t>
            </w:r>
            <w:r>
              <w:rPr>
                <w:rFonts w:hint="eastAsia"/>
                <w:spacing w:val="-6"/>
                <w:sz w:val="24"/>
                <w:lang w:eastAsia="zh-CN"/>
              </w:rPr>
              <w:t>内</w:t>
            </w:r>
            <w:r>
              <w:rPr>
                <w:rFonts w:hint="eastAsia"/>
                <w:spacing w:val="-6"/>
                <w:sz w:val="24"/>
              </w:rPr>
              <w:t>西北</w:t>
            </w:r>
            <w:r>
              <w:rPr>
                <w:rFonts w:hint="eastAsia"/>
                <w:spacing w:val="-6"/>
                <w:sz w:val="24"/>
                <w:lang w:eastAsia="zh-CN"/>
              </w:rPr>
              <w:t>角</w:t>
            </w:r>
            <w:r>
              <w:rPr>
                <w:rFonts w:hint="eastAsia"/>
                <w:spacing w:val="-6"/>
                <w:sz w:val="24"/>
              </w:rPr>
              <w:t>、拆解车间位于</w:t>
            </w:r>
            <w:r>
              <w:rPr>
                <w:rFonts w:hint="eastAsia"/>
                <w:spacing w:val="-6"/>
                <w:sz w:val="24"/>
                <w:lang w:eastAsia="zh-CN"/>
              </w:rPr>
              <w:t>厂区</w:t>
            </w:r>
            <w:r>
              <w:rPr>
                <w:rFonts w:hint="eastAsia"/>
                <w:spacing w:val="-6"/>
                <w:sz w:val="24"/>
              </w:rPr>
              <w:t>西侧、库</w:t>
            </w:r>
            <w:r>
              <w:rPr>
                <w:rFonts w:hint="eastAsia"/>
                <w:spacing w:val="-6"/>
                <w:sz w:val="24"/>
                <w:lang w:eastAsia="zh-CN"/>
              </w:rPr>
              <w:t>房</w:t>
            </w:r>
            <w:r>
              <w:rPr>
                <w:rFonts w:hint="eastAsia"/>
                <w:spacing w:val="-6"/>
                <w:sz w:val="24"/>
                <w:lang w:val="en-US" w:eastAsia="zh-CN"/>
              </w:rPr>
              <w:t>2个，分别</w:t>
            </w:r>
            <w:r>
              <w:rPr>
                <w:rFonts w:hint="eastAsia"/>
                <w:spacing w:val="-6"/>
                <w:sz w:val="24"/>
              </w:rPr>
              <w:t>位于</w:t>
            </w:r>
            <w:r>
              <w:rPr>
                <w:rFonts w:hint="eastAsia"/>
                <w:spacing w:val="-6"/>
                <w:sz w:val="24"/>
                <w:lang w:eastAsia="zh-CN"/>
              </w:rPr>
              <w:t>厂区内</w:t>
            </w:r>
            <w:r>
              <w:rPr>
                <w:rFonts w:hint="eastAsia"/>
                <w:spacing w:val="-6"/>
                <w:sz w:val="24"/>
              </w:rPr>
              <w:t>东侧及北侧，办公楼位于</w:t>
            </w:r>
            <w:r>
              <w:rPr>
                <w:rFonts w:hint="eastAsia"/>
                <w:spacing w:val="-6"/>
                <w:sz w:val="24"/>
                <w:lang w:eastAsia="zh-CN"/>
              </w:rPr>
              <w:t>厂区内</w:t>
            </w:r>
            <w:r>
              <w:rPr>
                <w:rFonts w:hint="eastAsia"/>
                <w:spacing w:val="-6"/>
                <w:sz w:val="24"/>
              </w:rPr>
              <w:t>东南侧，厂内平面布置按照生产工艺流程的顺序布置，符合报废农机进场和拆解的流程走向。本项目建构筑物分布较为紧凑，平面布置符合生产工艺流程走向，总体上布置较为合理。</w:t>
            </w:r>
          </w:p>
          <w:p>
            <w:pPr>
              <w:pStyle w:val="7"/>
              <w:widowControl/>
              <w:adjustRightInd w:val="0"/>
              <w:snapToGrid w:val="0"/>
              <w:spacing w:line="460" w:lineRule="exact"/>
              <w:ind w:firstLine="48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8" w:hRule="atLeast"/>
        </w:trPr>
        <w:tc>
          <w:tcPr>
            <w:tcW w:w="450" w:type="dxa"/>
            <w:vAlign w:val="center"/>
          </w:tcPr>
          <w:p>
            <w:pPr>
              <w:snapToGrid w:val="0"/>
              <w:spacing w:line="360" w:lineRule="auto"/>
              <w:jc w:val="center"/>
              <w:rPr>
                <w:rFonts w:ascii="Times New Roman" w:hAnsi="Times New Roman" w:eastAsia="宋体" w:cs="Times New Roman"/>
                <w:sz w:val="24"/>
                <w:highlight w:val="yellow"/>
              </w:rPr>
            </w:pPr>
            <w:r>
              <w:rPr>
                <w:rFonts w:ascii="Times New Roman" w:hAnsi="Times New Roman" w:eastAsia="宋体" w:cs="Times New Roman"/>
                <w:sz w:val="24"/>
              </w:rPr>
              <w:t>工艺流程和产排污环节</w:t>
            </w:r>
          </w:p>
        </w:tc>
        <w:tc>
          <w:tcPr>
            <w:tcW w:w="8315" w:type="dxa"/>
          </w:tcPr>
          <w:p>
            <w:pPr>
              <w:spacing w:line="480" w:lineRule="exact"/>
              <w:ind w:firstLine="482" w:firstLineChars="200"/>
              <w:rPr>
                <w:rFonts w:ascii="宋体" w:hAnsi="宋体"/>
                <w:b/>
                <w:bCs/>
                <w:sz w:val="24"/>
                <w:szCs w:val="21"/>
              </w:rPr>
            </w:pPr>
            <w:r>
              <w:rPr>
                <w:rFonts w:hint="eastAsia" w:ascii="宋体" w:hAnsi="宋体"/>
                <w:b/>
                <w:bCs/>
                <w:sz w:val="24"/>
                <w:szCs w:val="21"/>
              </w:rPr>
              <w:t>一、施工期工艺流程</w:t>
            </w:r>
          </w:p>
          <w:p>
            <w:pPr>
              <w:spacing w:line="480" w:lineRule="exact"/>
              <w:ind w:firstLine="480" w:firstLineChars="200"/>
              <w:rPr>
                <w:rFonts w:hint="eastAsia" w:ascii="宋体" w:hAnsi="宋体" w:cs="宋体"/>
                <w:kern w:val="0"/>
                <w:sz w:val="24"/>
                <w:u w:val="single"/>
                <w:lang w:val="en-US" w:eastAsia="zh-CN"/>
              </w:rPr>
            </w:pPr>
            <w:r>
              <w:rPr>
                <w:rFonts w:hint="eastAsia" w:ascii="宋体" w:hAnsi="宋体" w:cs="宋体"/>
                <w:kern w:val="0"/>
                <w:sz w:val="24"/>
                <w:u w:val="single"/>
                <w:lang w:val="en-US" w:eastAsia="zh-CN"/>
              </w:rPr>
              <w:t>本项目租用国宾机械制造有限公司现有厂房、建筑等进行生产。厂区内现有道路及停车厂地面因年久失修出现破损，因此施工期对厂区道路及停车厂地面做进一步防渗处理、车间设备安装以及池体建设等。本项目施工期间场区周围施工扬尘、施工噪声可能影响到周围环境，为了保护区域环境空气和环境噪声质量，创造良好的施工环境，提高施工的文明程度，减少对环境的影响，本评价对施工期可能产生的扬尘、废水、噪声及固体废物提出如下环境保护措施。</w:t>
            </w:r>
          </w:p>
          <w:p>
            <w:pPr>
              <w:jc w:val="center"/>
              <w:rPr>
                <w:rFonts w:hint="eastAsia" w:ascii="宋体" w:hAnsi="宋体"/>
                <w:b/>
                <w:bCs/>
                <w:szCs w:val="21"/>
              </w:rPr>
            </w:pPr>
            <w:r>
              <w:rPr>
                <w:sz w:val="21"/>
              </w:rPr>
              <w:pict>
                <v:group id="_x0000_s1071" o:spid="_x0000_s1071" o:spt="203" style="position:absolute;left:0pt;margin-left:79.15pt;margin-top:12.9pt;height:30pt;width:181.5pt;z-index:251661312;mso-width-relative:page;mso-height-relative:page;" coordorigin="4017,621488" coordsize="3630,600">
                  <o:lock v:ext="edit" aspectratio="f"/>
                  <v:rect id="_x0000_s1069" o:spid="_x0000_s1069" o:spt="1" style="position:absolute;left:4017;top:621488;height:601;width:1912;" fillcolor="#FFFFFF" filled="t" stroked="t" coordsize="21600,21600">
                    <v:path/>
                    <v:fill on="t" color2="#FFFFFF" focussize="0,0"/>
                    <v:stroke color="#FFFFFF" joinstyle="miter"/>
                    <v:imagedata o:title=""/>
                    <o:lock v:ext="edit" aspectratio="f"/>
                    <v:textbox inset="0mm,0mm,0mm,0mm">
                      <w:txbxContent>
                        <w:p>
                          <w:pPr>
                            <w:ind w:firstLine="210" w:firstLineChars="100"/>
                            <w:jc w:val="center"/>
                            <w:rPr>
                              <w:rFonts w:hint="eastAsia" w:ascii="楷体" w:hAnsi="楷体" w:eastAsia="楷体" w:cs="楷体"/>
                              <w:color w:val="3B3838" w:themeColor="background2" w:themeShade="40"/>
                              <w:u w:val="none"/>
                              <w:lang w:eastAsia="zh-CN"/>
                            </w:rPr>
                          </w:pPr>
                          <w:r>
                            <w:rPr>
                              <w:rFonts w:hint="eastAsia" w:ascii="楷体" w:hAnsi="楷体" w:eastAsia="楷体" w:cs="楷体"/>
                              <w:color w:val="3B3838" w:themeColor="background2" w:themeShade="40"/>
                              <w:u w:val="none"/>
                              <w:lang w:eastAsia="zh-CN"/>
                            </w:rPr>
                            <w:t>拆解车间、危废间、仓库地面改建</w:t>
                          </w:r>
                        </w:p>
                      </w:txbxContent>
                    </v:textbox>
                  </v:rect>
                  <v:rect id="_x0000_s1070" o:spid="_x0000_s1070" o:spt="1" style="position:absolute;left:6367;top:621604;height:348;width:1280;" fillcolor="#FFFFFF" filled="t" stroked="t" coordsize="21600,21600">
                    <v:path/>
                    <v:fill on="t" color2="#FFFFFF" focussize="0,0"/>
                    <v:stroke color="#FFFFFF" joinstyle="miter"/>
                    <v:imagedata o:title=""/>
                    <o:lock v:ext="edit" aspectratio="f"/>
                    <v:textbox inset="0mm,0mm,0mm,0mm">
                      <w:txbxContent>
                        <w:p>
                          <w:pPr>
                            <w:ind w:firstLine="210" w:firstLineChars="100"/>
                            <w:jc w:val="center"/>
                            <w:rPr>
                              <w:rFonts w:hint="eastAsia" w:ascii="楷体" w:hAnsi="楷体" w:eastAsia="楷体" w:cs="楷体"/>
                              <w:color w:val="3B3838" w:themeColor="background2" w:themeShade="40"/>
                              <w:u w:val="none"/>
                              <w:lang w:eastAsia="zh-CN"/>
                            </w:rPr>
                          </w:pPr>
                          <w:r>
                            <w:rPr>
                              <w:rFonts w:hint="eastAsia" w:ascii="楷体" w:hAnsi="楷体" w:eastAsia="楷体" w:cs="楷体"/>
                              <w:color w:val="3B3838" w:themeColor="background2" w:themeShade="40"/>
                              <w:u w:val="none"/>
                              <w:lang w:eastAsia="zh-CN"/>
                            </w:rPr>
                            <w:t>存车场改建</w:t>
                          </w:r>
                        </w:p>
                      </w:txbxContent>
                    </v:textbox>
                  </v:rect>
                </v:group>
              </w:pict>
            </w:r>
            <w:r>
              <w:object>
                <v:shape id="_x0000_i1025" o:spt="75" type="#_x0000_t75" style="height:90.75pt;width:402.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jc w:val="center"/>
              <w:rPr>
                <w:rFonts w:hint="eastAsia" w:ascii="宋体" w:hAnsi="宋体"/>
                <w:b/>
                <w:bCs/>
                <w:szCs w:val="21"/>
              </w:rPr>
            </w:pPr>
          </w:p>
          <w:p>
            <w:pPr>
              <w:jc w:val="center"/>
              <w:rPr>
                <w:rFonts w:ascii="宋体" w:hAnsi="宋体"/>
                <w:b/>
                <w:bCs/>
                <w:sz w:val="24"/>
                <w:szCs w:val="24"/>
              </w:rPr>
            </w:pPr>
            <w:r>
              <w:rPr>
                <w:rFonts w:hint="eastAsia" w:ascii="宋体" w:hAnsi="宋体"/>
                <w:b/>
                <w:bCs/>
                <w:sz w:val="24"/>
                <w:szCs w:val="24"/>
              </w:rPr>
              <w:t>图2   本项目施工期主要工艺流程及排污节点</w:t>
            </w:r>
          </w:p>
          <w:p>
            <w:pPr>
              <w:adjustRightInd w:val="0"/>
              <w:snapToGrid w:val="0"/>
              <w:spacing w:line="480" w:lineRule="exact"/>
              <w:ind w:firstLine="482" w:firstLineChars="200"/>
              <w:rPr>
                <w:rFonts w:hint="eastAsia" w:ascii="Times New Roman" w:hAnsi="Times New Roman" w:cs="Times New Roman"/>
                <w:b/>
                <w:bCs/>
                <w:sz w:val="24"/>
                <w:u w:val="single"/>
                <w:lang w:eastAsia="zh-CN"/>
              </w:rPr>
            </w:pPr>
            <w:r>
              <w:rPr>
                <w:rFonts w:ascii="Times New Roman" w:hAnsi="Times New Roman" w:cs="Times New Roman"/>
                <w:b/>
                <w:bCs/>
                <w:sz w:val="24"/>
                <w:u w:val="single"/>
              </w:rPr>
              <w:t>1.1地表水环境</w:t>
            </w:r>
            <w:r>
              <w:rPr>
                <w:rFonts w:hint="eastAsia" w:ascii="Times New Roman" w:hAnsi="Times New Roman" w:cs="Times New Roman"/>
                <w:b/>
                <w:bCs/>
                <w:sz w:val="24"/>
                <w:u w:val="single"/>
                <w:lang w:eastAsia="zh-CN"/>
              </w:rPr>
              <w:t>影响分析</w:t>
            </w:r>
          </w:p>
          <w:p>
            <w:pPr>
              <w:adjustRightInd w:val="0"/>
              <w:snapToGrid w:val="0"/>
              <w:spacing w:line="480" w:lineRule="exact"/>
              <w:ind w:firstLine="482" w:firstLineChars="200"/>
              <w:rPr>
                <w:rFonts w:ascii="Times New Roman" w:hAnsi="Times New Roman" w:cs="Times New Roman"/>
                <w:sz w:val="24"/>
                <w:u w:val="single"/>
              </w:rPr>
            </w:pPr>
            <w:r>
              <w:rPr>
                <w:rFonts w:ascii="Times New Roman" w:hAnsi="Times New Roman" w:cs="Times New Roman"/>
                <w:b/>
                <w:bCs/>
                <w:sz w:val="24"/>
                <w:u w:val="single"/>
              </w:rPr>
              <w:t>1.1.1施工废水</w:t>
            </w:r>
          </w:p>
          <w:p>
            <w:pPr>
              <w:adjustRightInd w:val="0"/>
              <w:snapToGrid w:val="0"/>
              <w:spacing w:line="480" w:lineRule="exact"/>
              <w:ind w:firstLine="480" w:firstLineChars="200"/>
              <w:rPr>
                <w:rFonts w:ascii="Times New Roman" w:hAnsi="Times New Roman" w:cs="Times New Roman"/>
                <w:sz w:val="24"/>
                <w:u w:val="single"/>
              </w:rPr>
            </w:pPr>
            <w:r>
              <w:rPr>
                <w:rFonts w:ascii="Times New Roman" w:hAnsi="Times New Roman" w:cs="Times New Roman"/>
                <w:sz w:val="24"/>
                <w:u w:val="single"/>
              </w:rPr>
              <w:t>施工废水主要含混凝土块、石灰石、泥沙等形成的泥浆水以及工地雨水形成的地面径流，主要以SS污染为主，其值为400～1000mg/L，建议施工单位在现场建沉淀池，施工废水进行适当的沉淀处理后回用，沉淀下的泥浆或固体废弃物，应与建筑垃圾一起处置，不得混入生活垃圾中，经过处理后，不会对周围环境产生不利影响。</w:t>
            </w:r>
          </w:p>
          <w:p>
            <w:pPr>
              <w:adjustRightInd w:val="0"/>
              <w:snapToGrid w:val="0"/>
              <w:spacing w:line="480" w:lineRule="exact"/>
              <w:ind w:firstLine="482" w:firstLineChars="200"/>
              <w:rPr>
                <w:rFonts w:ascii="Times New Roman" w:hAnsi="Times New Roman" w:cs="Times New Roman"/>
                <w:b/>
                <w:bCs/>
                <w:sz w:val="24"/>
                <w:u w:val="single"/>
              </w:rPr>
            </w:pPr>
            <w:r>
              <w:rPr>
                <w:rFonts w:ascii="Times New Roman" w:hAnsi="Times New Roman" w:cs="Times New Roman"/>
                <w:b/>
                <w:bCs/>
                <w:sz w:val="24"/>
                <w:u w:val="single"/>
              </w:rPr>
              <w:t>1.1.2生活污水</w:t>
            </w:r>
          </w:p>
          <w:p>
            <w:pPr>
              <w:spacing w:line="480" w:lineRule="exact"/>
              <w:ind w:firstLine="480" w:firstLineChars="200"/>
              <w:rPr>
                <w:rFonts w:ascii="Times New Roman" w:hAnsi="Times New Roman" w:cs="Times New Roman"/>
                <w:sz w:val="24"/>
                <w:u w:val="single"/>
              </w:rPr>
            </w:pPr>
            <w:r>
              <w:rPr>
                <w:rFonts w:ascii="Times New Roman" w:hAnsi="Times New Roman" w:cs="Times New Roman"/>
                <w:sz w:val="24"/>
                <w:u w:val="single"/>
                <w:lang w:val="zh-CN"/>
              </w:rPr>
              <w:t>施工人员卫生清洗产生的生活污水，</w:t>
            </w:r>
            <w:r>
              <w:rPr>
                <w:rFonts w:ascii="Times New Roman" w:hAnsi="Times New Roman" w:cs="Times New Roman"/>
                <w:sz w:val="24"/>
                <w:u w:val="single"/>
              </w:rPr>
              <w:t>施工人员生活污水排入现有</w:t>
            </w:r>
            <w:r>
              <w:rPr>
                <w:rFonts w:hint="eastAsia" w:ascii="Times New Roman" w:hAnsi="Times New Roman" w:cs="Times New Roman"/>
                <w:sz w:val="24"/>
                <w:u w:val="single"/>
              </w:rPr>
              <w:t>园区污水管网</w:t>
            </w:r>
            <w:r>
              <w:rPr>
                <w:rFonts w:ascii="Times New Roman" w:hAnsi="Times New Roman" w:cs="Times New Roman"/>
                <w:sz w:val="24"/>
                <w:u w:val="single"/>
              </w:rPr>
              <w:t>，对地表水影响较小。</w:t>
            </w:r>
          </w:p>
          <w:p>
            <w:pPr>
              <w:spacing w:line="480" w:lineRule="exact"/>
              <w:ind w:firstLine="482" w:firstLineChars="200"/>
              <w:rPr>
                <w:rFonts w:hint="eastAsia" w:ascii="Times New Roman" w:hAnsi="Times New Roman" w:cs="Times New Roman" w:eastAsiaTheme="minorEastAsia"/>
                <w:b/>
                <w:bCs/>
                <w:sz w:val="24"/>
                <w:u w:val="single"/>
                <w:lang w:eastAsia="zh-CN"/>
              </w:rPr>
            </w:pPr>
            <w:r>
              <w:rPr>
                <w:rFonts w:ascii="Times New Roman" w:hAnsi="Times New Roman" w:cs="Times New Roman"/>
                <w:b/>
                <w:bCs/>
                <w:sz w:val="24"/>
                <w:u w:val="single"/>
              </w:rPr>
              <w:t>1.2环境空气</w:t>
            </w:r>
            <w:r>
              <w:rPr>
                <w:rFonts w:hint="eastAsia" w:ascii="Times New Roman" w:hAnsi="Times New Roman" w:cs="Times New Roman"/>
                <w:b/>
                <w:bCs/>
                <w:sz w:val="24"/>
                <w:u w:val="single"/>
                <w:lang w:eastAsia="zh-CN"/>
              </w:rPr>
              <w:t>影响分析</w:t>
            </w:r>
          </w:p>
          <w:p>
            <w:pPr>
              <w:spacing w:line="480" w:lineRule="exact"/>
              <w:ind w:firstLine="480" w:firstLineChars="200"/>
              <w:rPr>
                <w:rFonts w:ascii="Times New Roman" w:hAnsi="Times New Roman" w:cs="Times New Roman"/>
                <w:sz w:val="24"/>
                <w:u w:val="single"/>
              </w:rPr>
            </w:pPr>
            <w:r>
              <w:rPr>
                <w:rFonts w:ascii="Times New Roman" w:hAnsi="Times New Roman" w:cs="Times New Roman"/>
                <w:sz w:val="24"/>
                <w:u w:val="single"/>
              </w:rPr>
              <w:t>施工期的影响主要为建筑材料装卸、输送过程中产生的扬尘，如水泥、建筑用砂、白灰等；施工期建材运输车辆将对施工现场附近环境空气质量造成一定影响。建筑材料装卸时也有一定量的扬尘，建议采用商砼，施工场地尽量减少使用水泥、砂等易产尘原料，同时加强环境管理，如产尘点及时定期洒水，加盖苫布等，减少粉尘的产生及对周围环境的影响。施工机械及车辆尾气的排放也会对周围环境空气质量产生一定影响，但只是暂时的、分散的。</w:t>
            </w:r>
          </w:p>
          <w:p>
            <w:pPr>
              <w:spacing w:line="480" w:lineRule="exact"/>
              <w:ind w:firstLine="482" w:firstLineChars="200"/>
              <w:rPr>
                <w:rFonts w:hint="eastAsia" w:ascii="Times New Roman" w:hAnsi="Times New Roman" w:cs="Times New Roman" w:eastAsiaTheme="minorEastAsia"/>
                <w:b/>
                <w:bCs/>
                <w:sz w:val="24"/>
                <w:u w:val="single"/>
                <w:lang w:eastAsia="zh-CN"/>
              </w:rPr>
            </w:pPr>
            <w:r>
              <w:rPr>
                <w:rFonts w:ascii="Times New Roman" w:hAnsi="Times New Roman" w:cs="Times New Roman"/>
                <w:b/>
                <w:bCs/>
                <w:sz w:val="24"/>
                <w:u w:val="single"/>
              </w:rPr>
              <w:t>1.3声环境</w:t>
            </w:r>
            <w:r>
              <w:rPr>
                <w:rFonts w:hint="eastAsia" w:ascii="Times New Roman" w:hAnsi="Times New Roman" w:cs="Times New Roman"/>
                <w:b/>
                <w:bCs/>
                <w:sz w:val="24"/>
                <w:u w:val="single"/>
                <w:lang w:eastAsia="zh-CN"/>
              </w:rPr>
              <w:t>影响分析</w:t>
            </w:r>
          </w:p>
          <w:p>
            <w:pPr>
              <w:spacing w:line="480" w:lineRule="exact"/>
              <w:ind w:firstLine="480" w:firstLineChars="200"/>
              <w:rPr>
                <w:rFonts w:ascii="Times New Roman" w:hAnsi="Times New Roman" w:cs="Times New Roman"/>
                <w:sz w:val="24"/>
                <w:u w:val="single"/>
              </w:rPr>
            </w:pPr>
            <w:r>
              <w:rPr>
                <w:rFonts w:ascii="Times New Roman" w:hAnsi="Times New Roman" w:cs="Times New Roman"/>
                <w:sz w:val="24"/>
                <w:u w:val="single"/>
              </w:rPr>
              <w:t>在施工过程中，由于各种施工机械设备的运转和各类车辆的运行，不可避免地产生噪声污染。施工期噪声主要指建筑施工噪声和交通运输噪声两类。</w:t>
            </w:r>
          </w:p>
          <w:p>
            <w:pPr>
              <w:adjustRightInd w:val="0"/>
              <w:snapToGrid w:val="0"/>
              <w:spacing w:line="480" w:lineRule="exact"/>
              <w:ind w:firstLine="480" w:firstLineChars="200"/>
              <w:rPr>
                <w:rFonts w:ascii="Times New Roman" w:hAnsi="Times New Roman" w:eastAsia="宋体" w:cs="Times New Roman"/>
                <w:sz w:val="24"/>
              </w:rPr>
            </w:pPr>
            <w:r>
              <w:rPr>
                <w:rFonts w:ascii="Times New Roman" w:hAnsi="Times New Roman" w:cs="Times New Roman"/>
                <w:sz w:val="24"/>
                <w:u w:val="single"/>
              </w:rPr>
              <w:t>各种施工机械，如运输汽车可产生较强烈的噪声。虽然这些施工机械噪声属于非连续性间歇排放，但由于噪声源相对集中，且多为裸露声源，本环评建议施工期噪声应严格执行《建筑施工场界环境噪声排放标准》（GB12523-2011），施工时间为凌晨6点至夜间10点之间，禁止夜间施工，同时，混凝土搅拌过程中产生的噪声也会对施工现场及附近环境产生不利影响，本环评建议采用商品混凝土，不在现场搅拌，将其对周围环境影响降至最低。</w:t>
            </w:r>
          </w:p>
          <w:p>
            <w:pPr>
              <w:adjustRightInd w:val="0"/>
              <w:snapToGrid w:val="0"/>
              <w:spacing w:line="480" w:lineRule="exact"/>
              <w:ind w:firstLine="482" w:firstLineChars="200"/>
              <w:rPr>
                <w:rFonts w:ascii="Times New Roman" w:hAnsi="Times New Roman" w:cs="Times New Roman"/>
                <w:b/>
                <w:bCs/>
                <w:sz w:val="24"/>
                <w:u w:val="single"/>
                <w:lang w:val="zh-CN"/>
              </w:rPr>
            </w:pPr>
            <w:r>
              <w:rPr>
                <w:rFonts w:ascii="Times New Roman" w:hAnsi="Times New Roman" w:cs="Times New Roman"/>
                <w:b/>
                <w:bCs/>
                <w:sz w:val="24"/>
                <w:u w:val="single"/>
              </w:rPr>
              <w:t>1.4</w:t>
            </w:r>
            <w:r>
              <w:rPr>
                <w:rFonts w:ascii="Times New Roman" w:hAnsi="Times New Roman" w:cs="Times New Roman"/>
                <w:b/>
                <w:bCs/>
                <w:sz w:val="24"/>
                <w:u w:val="single"/>
                <w:lang w:val="zh-CN"/>
              </w:rPr>
              <w:t>固废物</w:t>
            </w:r>
            <w:r>
              <w:rPr>
                <w:rFonts w:hint="eastAsia" w:ascii="Times New Roman" w:hAnsi="Times New Roman" w:cs="Times New Roman"/>
                <w:b/>
                <w:bCs/>
                <w:sz w:val="24"/>
                <w:u w:val="single"/>
                <w:lang w:val="zh-CN"/>
              </w:rPr>
              <w:t>影响分析</w:t>
            </w:r>
          </w:p>
          <w:p>
            <w:pPr>
              <w:adjustRightInd w:val="0"/>
              <w:snapToGrid w:val="0"/>
              <w:spacing w:line="480" w:lineRule="exact"/>
              <w:ind w:firstLine="480" w:firstLineChars="200"/>
              <w:rPr>
                <w:rFonts w:ascii="Times New Roman" w:hAnsi="Times New Roman" w:cs="Times New Roman"/>
                <w:sz w:val="24"/>
                <w:u w:val="single"/>
              </w:rPr>
            </w:pPr>
            <w:r>
              <w:rPr>
                <w:rFonts w:ascii="Times New Roman" w:hAnsi="Times New Roman" w:cs="Times New Roman"/>
                <w:sz w:val="24"/>
                <w:u w:val="single"/>
                <w:lang w:val="zh-CN"/>
              </w:rPr>
              <w:t>施工人员生活垃圾应定点堆放，便于收集。施工期将产生少量的建</w:t>
            </w:r>
            <w:r>
              <w:rPr>
                <w:rFonts w:ascii="Times New Roman" w:hAnsi="Times New Roman" w:cs="Times New Roman"/>
                <w:sz w:val="24"/>
                <w:u w:val="single"/>
              </w:rPr>
              <w:t>筑垃圾</w:t>
            </w:r>
            <w:r>
              <w:rPr>
                <w:rFonts w:hint="eastAsia" w:ascii="Times New Roman" w:hAnsi="Times New Roman" w:cs="Times New Roman"/>
                <w:sz w:val="24"/>
                <w:u w:val="single"/>
              </w:rPr>
              <w:t>约1t为一般固废，</w:t>
            </w:r>
            <w:r>
              <w:rPr>
                <w:rFonts w:ascii="Times New Roman" w:hAnsi="Times New Roman" w:cs="Times New Roman"/>
                <w:sz w:val="24"/>
                <w:u w:val="single"/>
              </w:rPr>
              <w:t>建议将施工期产生的建筑垃圾及时清运，运往白城市</w:t>
            </w:r>
            <w:r>
              <w:rPr>
                <w:rFonts w:hint="eastAsia" w:ascii="Times New Roman" w:hAnsi="Times New Roman" w:cs="Times New Roman"/>
                <w:sz w:val="24"/>
                <w:u w:val="single"/>
                <w:lang w:eastAsia="zh-CN"/>
              </w:rPr>
              <w:t>建筑垃圾</w:t>
            </w:r>
            <w:r>
              <w:rPr>
                <w:rFonts w:ascii="Times New Roman" w:hAnsi="Times New Roman" w:cs="Times New Roman"/>
                <w:sz w:val="24"/>
                <w:u w:val="single"/>
              </w:rPr>
              <w:t>指定地点暂存；施工现场应设置专门生活垃圾箱，由环卫部门统一清运，避免随意抛弃。通过采取上述措施后，施工期间固废物对环境影响不大。</w:t>
            </w:r>
          </w:p>
          <w:p>
            <w:pPr>
              <w:keepNext w:val="0"/>
              <w:keepLines w:val="0"/>
              <w:widowControl/>
              <w:suppressLineNumbers w:val="0"/>
              <w:spacing w:line="360" w:lineRule="auto"/>
              <w:ind w:firstLine="482" w:firstLineChars="200"/>
              <w:jc w:val="left"/>
              <w:rPr>
                <w:rFonts w:hint="eastAsia" w:eastAsia="宋体"/>
                <w:b/>
                <w:bCs/>
                <w:u w:val="single"/>
                <w:lang w:val="en-US" w:eastAsia="zh-CN"/>
              </w:rPr>
            </w:pPr>
            <w:r>
              <w:rPr>
                <w:rFonts w:hint="eastAsia" w:ascii="Times New Roman" w:hAnsi="Times New Roman" w:eastAsia="宋体" w:cs="Times New Roman"/>
                <w:b/>
                <w:bCs/>
                <w:color w:val="000000"/>
                <w:kern w:val="0"/>
                <w:sz w:val="24"/>
                <w:szCs w:val="24"/>
                <w:u w:val="single"/>
                <w:lang w:val="en-US" w:eastAsia="zh-CN" w:bidi="ar"/>
              </w:rPr>
              <w:t>1</w:t>
            </w:r>
            <w:r>
              <w:rPr>
                <w:rFonts w:hint="default" w:ascii="Times New Roman" w:hAnsi="Times New Roman" w:eastAsia="宋体" w:cs="Times New Roman"/>
                <w:b/>
                <w:bCs/>
                <w:color w:val="000000"/>
                <w:kern w:val="0"/>
                <w:sz w:val="24"/>
                <w:szCs w:val="24"/>
                <w:u w:val="single"/>
                <w:lang w:val="en-US" w:eastAsia="zh-CN" w:bidi="ar"/>
              </w:rPr>
              <w:t>.</w:t>
            </w:r>
            <w:r>
              <w:rPr>
                <w:rFonts w:hint="eastAsia" w:ascii="Times New Roman" w:hAnsi="Times New Roman" w:eastAsia="宋体" w:cs="Times New Roman"/>
                <w:b/>
                <w:bCs/>
                <w:color w:val="000000"/>
                <w:kern w:val="0"/>
                <w:sz w:val="24"/>
                <w:szCs w:val="24"/>
                <w:u w:val="single"/>
                <w:lang w:val="en-US" w:eastAsia="zh-CN" w:bidi="ar"/>
              </w:rPr>
              <w:t>5</w:t>
            </w:r>
            <w:r>
              <w:rPr>
                <w:rFonts w:hint="eastAsia" w:ascii="宋体" w:hAnsi="宋体" w:eastAsia="宋体" w:cs="宋体"/>
                <w:b/>
                <w:bCs/>
                <w:color w:val="000000"/>
                <w:kern w:val="0"/>
                <w:sz w:val="24"/>
                <w:szCs w:val="24"/>
                <w:u w:val="single"/>
                <w:lang w:val="en-US" w:eastAsia="zh-CN" w:bidi="ar"/>
              </w:rPr>
              <w:t>生态环境影响分析</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本项目租用现成厂房进行生产，由于厂区内存车场地面破损严重，本次重新修整存车场，施工建设的水土流失影响是暂时的，随着施工的完成，这种水土流失现象将逐渐消失，进入运营期后通过厂区绿化会有效的改善生态环境。 </w:t>
            </w:r>
          </w:p>
          <w:p>
            <w:pPr>
              <w:keepNext w:val="0"/>
              <w:keepLines w:val="0"/>
              <w:widowControl/>
              <w:suppressLineNumbers w:val="0"/>
              <w:ind w:firstLine="482" w:firstLineChars="200"/>
              <w:jc w:val="left"/>
              <w:rPr>
                <w:rFonts w:ascii="宋体" w:hAnsi="宋体"/>
                <w:b/>
                <w:bCs/>
                <w:sz w:val="24"/>
              </w:rPr>
            </w:pPr>
            <w:r>
              <w:rPr>
                <w:rFonts w:hint="eastAsia" w:ascii="宋体" w:hAnsi="宋体"/>
                <w:b/>
                <w:bCs/>
                <w:sz w:val="24"/>
              </w:rPr>
              <w:t>二、运营期工艺流程</w:t>
            </w:r>
          </w:p>
          <w:p>
            <w:pPr>
              <w:adjustRightInd w:val="0"/>
              <w:snapToGrid w:val="0"/>
              <w:spacing w:line="480" w:lineRule="exact"/>
              <w:ind w:firstLine="482" w:firstLineChars="200"/>
              <w:jc w:val="left"/>
              <w:rPr>
                <w:rFonts w:ascii="宋体" w:hAnsi="宋体"/>
                <w:b/>
                <w:sz w:val="24"/>
              </w:rPr>
            </w:pPr>
            <w:r>
              <w:rPr>
                <w:rFonts w:hint="eastAsia" w:ascii="宋体" w:hAnsi="宋体"/>
                <w:b/>
                <w:sz w:val="24"/>
              </w:rPr>
              <w:t>1、报废农机拆解</w:t>
            </w:r>
          </w:p>
          <w:p>
            <w:pPr>
              <w:adjustRightInd w:val="0"/>
              <w:snapToGrid w:val="0"/>
              <w:spacing w:line="480" w:lineRule="exact"/>
              <w:ind w:firstLine="480" w:firstLineChars="200"/>
              <w:jc w:val="left"/>
              <w:rPr>
                <w:rFonts w:ascii="宋体" w:hAnsi="宋体"/>
                <w:bCs/>
                <w:sz w:val="24"/>
              </w:rPr>
            </w:pPr>
            <w:r>
              <w:rPr>
                <w:rFonts w:hint="eastAsia" w:ascii="宋体" w:hAnsi="宋体"/>
                <w:bCs/>
                <w:sz w:val="24"/>
              </w:rPr>
              <w:t>根据农机各部分的具体结构情况及拆解操作的方便程度，综合利用切割设备、剪切设备，铲车和各种手工、电动拆解工具进行拆解，并对拆解物进行压块处理；同时根据</w:t>
            </w:r>
            <w:r>
              <w:rPr>
                <w:rFonts w:hint="eastAsia" w:ascii="宋体" w:hAnsi="宋体" w:cs="宋体"/>
                <w:kern w:val="0"/>
                <w:sz w:val="24"/>
              </w:rPr>
              <w:t>《报废农业机械回收拆解技术规范》（NY/T2900-2016），发动机、变速箱、转向器、前后桥、机架和工作装置等主要总成，应确保拆解后不可修复</w:t>
            </w:r>
            <w:r>
              <w:rPr>
                <w:rFonts w:hint="eastAsia" w:ascii="宋体" w:hAnsi="宋体"/>
                <w:bCs/>
                <w:sz w:val="24"/>
              </w:rPr>
              <w:t>。</w:t>
            </w:r>
          </w:p>
          <w:p>
            <w:pPr>
              <w:adjustRightInd w:val="0"/>
              <w:snapToGrid w:val="0"/>
              <w:spacing w:line="480" w:lineRule="exact"/>
              <w:ind w:firstLine="480" w:firstLineChars="200"/>
              <w:jc w:val="left"/>
              <w:rPr>
                <w:rFonts w:ascii="宋体" w:hAnsi="宋体"/>
                <w:bCs/>
                <w:sz w:val="24"/>
              </w:rPr>
            </w:pPr>
            <w:r>
              <w:rPr>
                <w:rFonts w:hint="eastAsia" w:ascii="宋体" w:hAnsi="宋体"/>
                <w:bCs/>
                <w:sz w:val="24"/>
              </w:rPr>
              <w:t>本项目运营期主要工艺流程详见下图：</w:t>
            </w:r>
          </w:p>
          <w:p>
            <w:pPr>
              <w:pStyle w:val="3"/>
              <w:spacing w:before="62" w:after="62"/>
              <w:rPr>
                <w:bCs/>
                <w:sz w:val="24"/>
              </w:rPr>
            </w:pPr>
          </w:p>
          <w:p>
            <w:pPr>
              <w:jc w:val="center"/>
            </w:pPr>
            <w:r>
              <w:pict>
                <v:rect id="_x0000_s1029" o:spid="_x0000_s1029" o:spt="1" style="position:absolute;left:0pt;margin-left:10.05pt;margin-top:5.25pt;height:46.2pt;width:98.6pt;z-index:251662336;mso-width-relative:page;mso-height-relative:page;" fillcolor="#FFFFFF" filled="t" stroked="t" coordsize="21600,21600">
                  <v:path/>
                  <v:fill on="t" color2="#FFFFFF" focussize="0,0"/>
                  <v:stroke color="#FFFFFF" joinstyle="miter"/>
                  <v:imagedata o:title=""/>
                  <o:lock v:ext="edit" aspectratio="f"/>
                  <v:textbox>
                    <w:txbxContent>
                      <w:p>
                        <w:pPr>
                          <w:spacing w:line="440" w:lineRule="exact"/>
                        </w:pPr>
                      </w:p>
                      <w:p>
                        <w:pPr>
                          <w:ind w:firstLine="210" w:firstLineChars="100"/>
                          <w:jc w:val="right"/>
                          <w:rPr>
                            <w:color w:val="3B3838" w:themeColor="background2" w:themeShade="40"/>
                          </w:rPr>
                        </w:pPr>
                        <w:r>
                          <w:rPr>
                            <w:rFonts w:hint="eastAsia"/>
                            <w:color w:val="3B3838" w:themeColor="background2" w:themeShade="40"/>
                            <w:u w:val="single"/>
                          </w:rPr>
                          <w:t>报废农机进场</w:t>
                        </w:r>
                      </w:p>
                    </w:txbxContent>
                  </v:textbox>
                </v:rect>
              </w:pict>
            </w:r>
            <w:r>
              <w:object>
                <v:shape id="_x0000_i1026" o:spt="75" type="#_x0000_t75" style="height:234pt;width:414pt;" o:ole="t" filled="f" o:preferrelative="t" stroked="f" coordsize="21600,21600">
                  <v:path/>
                  <v:fill on="f" focussize="0,0"/>
                  <v:stroke on="f" joinstyle="miter"/>
                  <v:imagedata r:id="rId10" o:title=""/>
                  <o:lock v:ext="edit" aspectratio="t"/>
                  <w10:wrap type="none"/>
                  <w10:anchorlock/>
                </v:shape>
                <o:OLEObject Type="Embed" ProgID="PBrush" ShapeID="_x0000_i1026" DrawAspect="Content" ObjectID="_1468075726" r:id="rId9">
                  <o:LockedField>false</o:LockedField>
                </o:OLEObject>
              </w:object>
            </w:r>
          </w:p>
          <w:p>
            <w:pPr>
              <w:jc w:val="center"/>
              <w:rPr>
                <w:rFonts w:ascii="宋体" w:hAnsi="宋体"/>
                <w:b/>
                <w:bCs/>
                <w:sz w:val="24"/>
                <w:szCs w:val="24"/>
                <w:u w:val="single"/>
              </w:rPr>
            </w:pPr>
            <w:r>
              <w:rPr>
                <w:rFonts w:hint="eastAsia" w:ascii="宋体" w:hAnsi="宋体"/>
                <w:b/>
                <w:bCs/>
                <w:sz w:val="24"/>
                <w:szCs w:val="24"/>
                <w:u w:val="single"/>
              </w:rPr>
              <w:t>图3   本项目运营期工艺流程</w:t>
            </w:r>
          </w:p>
          <w:p>
            <w:pPr>
              <w:adjustRightInd w:val="0"/>
              <w:snapToGrid w:val="0"/>
              <w:spacing w:line="360" w:lineRule="auto"/>
              <w:ind w:firstLine="482" w:firstLineChars="200"/>
              <w:jc w:val="left"/>
              <w:rPr>
                <w:rFonts w:hint="eastAsia" w:ascii="宋体" w:hAnsi="宋体"/>
                <w:b/>
                <w:sz w:val="24"/>
                <w:u w:val="single"/>
              </w:rPr>
            </w:pPr>
          </w:p>
          <w:p>
            <w:pPr>
              <w:adjustRightInd w:val="0"/>
              <w:snapToGrid w:val="0"/>
              <w:spacing w:line="360" w:lineRule="auto"/>
              <w:ind w:firstLine="480" w:firstLineChars="200"/>
              <w:jc w:val="left"/>
              <w:rPr>
                <w:rFonts w:hint="eastAsia" w:ascii="宋体" w:hAnsi="宋体"/>
                <w:b w:val="0"/>
                <w:bCs/>
                <w:sz w:val="24"/>
                <w:u w:val="single"/>
              </w:rPr>
            </w:pPr>
            <w:r>
              <w:rPr>
                <w:rFonts w:hint="eastAsia" w:ascii="宋体" w:hAnsi="宋体"/>
                <w:b w:val="0"/>
                <w:bCs/>
                <w:sz w:val="24"/>
                <w:u w:val="single"/>
              </w:rPr>
              <w:t>本项目仅切割、压块打包，无焊接、破碎、分选工艺。</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具体工艺流程描述如下：</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（1）报废农机进厂</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机主将拟报废的农机交售给建设单位。建设单位对报废农机进行检车和登记，核对机主和拟报废的农机信息，向机主出具《农业机械来源和归属承诺书》和《报废农业机械回收确认表》，并向县级农业农村(农机)部门提供机主和报废农机信息。</w:t>
            </w:r>
          </w:p>
          <w:p>
            <w:pPr>
              <w:adjustRightInd w:val="0"/>
              <w:snapToGrid w:val="0"/>
              <w:spacing w:line="360" w:lineRule="auto"/>
              <w:ind w:firstLine="480" w:firstLineChars="200"/>
              <w:jc w:val="left"/>
              <w:rPr>
                <w:rFonts w:ascii="宋体" w:hAnsi="宋体"/>
                <w:bCs/>
                <w:sz w:val="24"/>
              </w:rPr>
            </w:pPr>
            <w:r>
              <w:rPr>
                <w:rFonts w:hint="eastAsia" w:ascii="宋体" w:hAnsi="宋体" w:cs="宋体"/>
                <w:kern w:val="0"/>
                <w:sz w:val="24"/>
              </w:rPr>
              <w:t>建设单位首先对报废农机进行</w:t>
            </w:r>
            <w:r>
              <w:rPr>
                <w:rFonts w:hint="eastAsia" w:ascii="宋体" w:hAnsi="宋体"/>
                <w:bCs/>
                <w:sz w:val="24"/>
              </w:rPr>
              <w:t>检查和登记，具体操作如下：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①检测报废农业机械发动机、散热器、变速器、差速器、油箱、液罐等总成部件的密封情况，对出现泄漏的地方，应采取适当的方式收集泄露的液体或封住泄漏处，防止废液渗入地下；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②对报废农业机械主要信息进行登记并拍照，并在机身醒目位置贴上唯一性标识。主要信息包括：机主（单位或个人）名称、证件号码、牌照号码、品牌型号、机身颜色、车架号、发动机号、出厂年份、接收或收购日期等。</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（2）预拆解</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可将报废农机放置于厂内停车场。项目设有停车场，停车场建设要求如下：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①报废农业机械存储应与其他废弃物存储分开，应避免侧放、倒放；</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②如需要叠放，应做到堆放合理，方便装卸，保障人身财产安全；</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③回收报废农业机械后，应在6个月之内将其拆解完毕。</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预拆解主要内容为：先对报废农业机械进行清洁处理，去除机械外部的非原机所属的覆盖物；在拆解预处理区域排空并分类收集农业机械内的废液，所有废液应排放干净；拆除蓄电池、废玻璃等外围附属件。对于蓄电池等拆解物，</w:t>
            </w:r>
            <w:r>
              <w:rPr>
                <w:rFonts w:hint="eastAsia" w:ascii="宋体" w:hAnsi="宋体"/>
                <w:bCs/>
                <w:spacing w:val="-6"/>
                <w:sz w:val="24"/>
              </w:rPr>
              <w:t>本项目不进行进一步拆解或者加工。</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a.废机油、制动液、防冻液收集</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油液排放系统由液体的抽吸输送系统组成，用于报废农机残存油液排放。气动隔膜泵用于抽吸液体；所有液体都有不同的颜色标识；使用压缩空气驱动，不使用电力，流量和粘度范围大，可以空运转，无泄漏；配置有液体过滤器，防止油液中带有大颗粒固体物质引起隔膜泵堵塞；泵放置在隔音包装中，噪音污染更低，储液罐用于存储废机油、制动液、防冻液；油桶托盘用于收集落下的油液；储罐口设置有高液位报警器，装满后发出声光报警，提醒操作人员更换油桶。废油液存放在设备自带的专用存储桶内，盖好桶盖，运至危废间油液专区暂存。</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b.柴油收集</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采用移动钻孔抽油机收集柴油，移动钻孔抽油机由气动隔膜泵以及气动钻孔装置组成，用于残存柴油的排放。具有以下优点：工具会自动固定在油箱上，工作人员无需站在旁边等待；油料流量可视，可随时查看是否还有油液未吸收干净；油料排放完毕后，凿孔器反转退出，配有专用的胶塞堵塞孔洞以阻碍残油流出；凿孔器放回设备时，泵会自动停止工作；自动开关系统，泵可拥有更长的使用寿命，需要更少的压缩空气；压缩空气驱动设备，带有防爆保护；橡皮吸管带有护套缠绕保护，防止损伤及污染。柴油存放在设备自带的专用吨桶内，盖好桶盖，油液运至危废间油液专区暂存。</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预拆解产生的废油液（主要包括废机油、剩余燃油、制动液、废防冻液）等危险废物进行分类存储，分别装存于专用容器内，暂存于危险废物暂存间，定期交有资质单位进行处理。</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（3）解体拆解</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本项目解体拆解主要针对报废农机机体进行拆解，解体拆解流程如下：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①拆下油箱；</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②拆除各类滤清器；</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③拆除玻璃；</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④拆除进、排气管,电气设备；</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⑤拆除车轮、轮胎履带等行走装置；</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⑥拆除含金属铜、铝、镁等能有效回收的部件；</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⑦拆除各种塑料件；</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 xml:space="preserve">⑧拆除橡胶制品部件； </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⑨拆解有关总成和其他零部件。</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解体拆解主要采用切割设备、电动拆解设备进行拆解，拆解产物包括毁形总成、废橡胶、废玻璃、钢铁、零部件、有色金属、废塑料、纤维、皮革等一般固体拆解物；废尾气净化装置、废机油滤清器、废含汞开关、电路板和电容器等危险废物。一般固体拆解物外售下游回收单位；危险废物分类暂存于危险废物暂存间，定期交有资质单位进行处理。</w:t>
            </w:r>
          </w:p>
          <w:p>
            <w:pPr>
              <w:adjustRightInd w:val="0"/>
              <w:snapToGrid w:val="0"/>
              <w:spacing w:line="360" w:lineRule="auto"/>
              <w:ind w:firstLine="480" w:firstLineChars="200"/>
              <w:jc w:val="left"/>
              <w:rPr>
                <w:rFonts w:ascii="宋体" w:hAnsi="宋体"/>
                <w:bCs/>
                <w:sz w:val="24"/>
                <w:u w:val="single"/>
              </w:rPr>
            </w:pPr>
            <w:r>
              <w:rPr>
                <w:rFonts w:hint="eastAsia" w:ascii="宋体" w:hAnsi="宋体"/>
                <w:bCs/>
                <w:sz w:val="24"/>
                <w:u w:val="single"/>
              </w:rPr>
              <w:t>根据建设单位介绍，本项目零部件无需清洗。</w:t>
            </w:r>
          </w:p>
          <w:p>
            <w:pPr>
              <w:adjustRightInd w:val="0"/>
              <w:snapToGrid w:val="0"/>
              <w:spacing w:line="360" w:lineRule="auto"/>
              <w:ind w:firstLine="480" w:firstLineChars="200"/>
              <w:jc w:val="left"/>
              <w:rPr>
                <w:rFonts w:ascii="宋体" w:hAnsi="宋体"/>
                <w:bCs/>
                <w:color w:val="5B9BD5" w:themeColor="accent1"/>
                <w:sz w:val="24"/>
              </w:rPr>
            </w:pPr>
            <w:r>
              <w:rPr>
                <w:rFonts w:hint="eastAsia" w:ascii="宋体" w:hAnsi="宋体"/>
                <w:bCs/>
                <w:sz w:val="24"/>
              </w:rPr>
              <w:t>解体拆解过程中切割、剪切等过程中会产生一定量工艺粉尘，解体拆解过程中主要废物为一般固体废物和危险废物。</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（4）总成解体、销毁</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本项目总成解体销毁方式均满足《报废农业机械回收拆解技术规范》（NY/T 2900-2016）相关要求，具体总成解体销毁方式如下：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本项目总成解体销毁主要采取挤压变形和剪切等方式进行：</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①发动机、变速箱、转向器进行冲击变形，将机体冲击至变形，变形程度不低于原机体外形尺寸的20%；</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②前后桥主要采用剪切方式进行销毁；</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③有车架的农机在车架的右前、左后的纵梁1/3处剪切下200mm，无车架的农机，将骨架部分挤压变形。</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在总成解体和销毁过程中会产生一定量的工艺粉尘。</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（5）压块打包</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本项目设有1台液压压块打包机，农机拆解后产生的已毁形的总成、农机机身以及其他金属结构，使用液压打包机进行压块打包，然后外售。压块外售下游回收单位，或暂存于拆解物仓库，集中外售下游回收单位。</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压块打包过程中会产生一定量的工艺粉尘。</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 xml:space="preserve">（6）回收农机拆解要求 </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建设单位对回收的农机进行拆解并建立档案，对国家禁止生产销售的发动机等部件进行破坏性处理。拆解档案应包括铭牌或其它能体现农机身份的原始资料，保存期不少于3年。县级农业农村(农机)部门应对回收企业拆解或者销毁农机进行监督。</w:t>
            </w:r>
          </w:p>
          <w:p>
            <w:pPr>
              <w:adjustRightInd w:val="0"/>
              <w:snapToGrid w:val="0"/>
              <w:spacing w:line="360" w:lineRule="auto"/>
              <w:ind w:firstLine="482" w:firstLineChars="200"/>
              <w:jc w:val="left"/>
              <w:rPr>
                <w:rFonts w:ascii="宋体" w:hAnsi="宋体"/>
                <w:b/>
                <w:sz w:val="24"/>
              </w:rPr>
            </w:pPr>
            <w:r>
              <w:rPr>
                <w:rFonts w:hint="eastAsia" w:ascii="宋体" w:hAnsi="宋体"/>
                <w:b/>
                <w:sz w:val="24"/>
              </w:rPr>
              <w:t>（7）拆解后存储与处置</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报废农机拆解后的拆解物包括一般固体废物和危险废物，拆解物的拆解后存储与处置要求如下：</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①废液应使用专用密闭容器存储，容器应具有防漏、防洒溅、防挥发属性，并交给合法的、有资质的废液回收处理企业。</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②拆解后的可再用零部件存储前，应做清理防锈等处理后在室内存储，并表明“回用件”。</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③拆解后的所有的零部件、材料、废物，应进行分类存储和标识，废物不得焚烧、丢弃。</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④拆解后一般固体废物的存储和处置应按照《一般工业固体废物贮存和填埋污染控制标准》（GB18599-2020）的规定执行。</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⑤拆解后有毒有害的危险废物的存储和处置应按照《危险废物贮存污染控制标准》（GB18597-2001）及2013年修改单的规定执行，危险废物应交由具有相应资质的单位进行处置。</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本项目农机拆解工艺流程满足</w:t>
            </w:r>
            <w:r>
              <w:rPr>
                <w:rFonts w:hint="eastAsia" w:ascii="宋体" w:hAnsi="宋体" w:cs="宋体"/>
                <w:kern w:val="0"/>
                <w:sz w:val="24"/>
              </w:rPr>
              <w:t>《报废农业机械回收拆解技术规范》（NY/T 2900-2016）中相关要求。</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在危险废物在危废间暂存期间可能产生一定量的废气，主要污染物为非甲烷总烃。</w:t>
            </w:r>
          </w:p>
          <w:p>
            <w:pPr>
              <w:pStyle w:val="21"/>
              <w:spacing w:beforeAutospacing="0" w:afterAutospacing="0" w:line="360" w:lineRule="auto"/>
              <w:ind w:left="482"/>
              <w:rPr>
                <w:rFonts w:ascii="宋体" w:hAnsi="宋体" w:eastAsia="宋体" w:cs="宋体"/>
                <w:b/>
                <w:bCs/>
              </w:rPr>
            </w:pPr>
            <w:r>
              <w:rPr>
                <w:rFonts w:hint="eastAsia" w:ascii="宋体" w:hAnsi="宋体" w:eastAsia="宋体" w:cs="宋体"/>
                <w:b/>
                <w:bCs/>
              </w:rPr>
              <w:t>2、废机油仓储</w:t>
            </w:r>
          </w:p>
          <w:p>
            <w:pPr>
              <w:pStyle w:val="21"/>
              <w:spacing w:beforeAutospacing="0" w:afterAutospacing="0" w:line="360" w:lineRule="auto"/>
              <w:ind w:left="482"/>
              <w:rPr>
                <w:rFonts w:ascii="宋体" w:hAnsi="宋体" w:eastAsia="宋体" w:cs="宋体"/>
                <w:color w:val="FF0000"/>
              </w:rPr>
            </w:pPr>
            <w:r>
              <w:rPr>
                <w:rFonts w:hint="eastAsia" w:ascii="宋体" w:hAnsi="宋体" w:eastAsia="宋体" w:cs="宋体"/>
                <w:b/>
                <w:bCs/>
              </w:rPr>
              <w:t>（一）废矿物油收集、贮运工艺流程</w:t>
            </w:r>
          </w:p>
          <w:p>
            <w:pPr>
              <w:pStyle w:val="21"/>
              <w:spacing w:beforeAutospacing="0" w:afterAutospacing="0" w:line="360" w:lineRule="auto"/>
              <w:ind w:firstLine="480" w:firstLineChars="200"/>
              <w:rPr>
                <w:rFonts w:ascii="宋体" w:hAnsi="宋体" w:eastAsia="宋体" w:cs="宋体"/>
              </w:rPr>
            </w:pPr>
            <w:r>
              <w:rPr>
                <w:rFonts w:hint="eastAsia" w:ascii="宋体" w:hAnsi="宋体" w:eastAsia="宋体" w:cs="宋体"/>
              </w:rPr>
              <w:t>本项目仅暂存废机油，不涉及废机油的运输、加工利用等工序，项目收集的废矿物油在厂内暂存后，委托具有危险废物运输资质的单位运输、具有废</w:t>
            </w:r>
            <w:r>
              <w:rPr>
                <w:rFonts w:hint="eastAsia" w:ascii="宋体" w:hAnsi="宋体" w:eastAsia="宋体" w:cs="宋体"/>
                <w:color w:val="000000"/>
              </w:rPr>
              <w:t>机油处理处置资质</w:t>
            </w:r>
            <w:r>
              <w:rPr>
                <w:rFonts w:hint="eastAsia" w:ascii="宋体" w:hAnsi="宋体" w:eastAsia="宋体" w:cs="宋体"/>
              </w:rPr>
              <w:t>的单位利用。废机油收集、贮运工艺流程及产污节点见下图。</w:t>
            </w:r>
          </w:p>
          <w:p>
            <w:pPr>
              <w:pStyle w:val="15"/>
              <w:ind w:left="0" w:leftChars="0"/>
              <w:rPr>
                <w:rFonts w:ascii="宋体" w:hAnsi="宋体"/>
                <w:b/>
                <w:bCs/>
                <w:color w:val="FF0000"/>
              </w:rPr>
            </w:pPr>
            <w:r>
              <w:drawing>
                <wp:inline distT="0" distB="0" distL="114300" distR="114300">
                  <wp:extent cx="5090160" cy="1074420"/>
                  <wp:effectExtent l="0" t="0" r="2540" b="508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1"/>
                          <a:stretch>
                            <a:fillRect/>
                          </a:stretch>
                        </pic:blipFill>
                        <pic:spPr>
                          <a:xfrm>
                            <a:off x="0" y="0"/>
                            <a:ext cx="5090160" cy="1074420"/>
                          </a:xfrm>
                          <a:prstGeom prst="rect">
                            <a:avLst/>
                          </a:prstGeom>
                          <a:noFill/>
                          <a:ln>
                            <a:noFill/>
                          </a:ln>
                        </pic:spPr>
                      </pic:pic>
                    </a:graphicData>
                  </a:graphic>
                </wp:inline>
              </w:drawing>
            </w:r>
          </w:p>
          <w:p>
            <w:pPr>
              <w:pStyle w:val="15"/>
              <w:ind w:left="0" w:leftChars="0"/>
              <w:jc w:val="center"/>
              <w:rPr>
                <w:rFonts w:ascii="宋体" w:hAnsi="宋体"/>
                <w:b/>
                <w:bCs/>
                <w:color w:val="FF0000"/>
              </w:rPr>
            </w:pPr>
            <w:r>
              <w:rPr>
                <w:rFonts w:ascii="宋体" w:hAnsi="宋体" w:eastAsia="宋体" w:cs="宋体"/>
                <w:b/>
                <w:bCs/>
                <w:sz w:val="24"/>
              </w:rPr>
              <w:t>图</w:t>
            </w:r>
            <w:r>
              <w:rPr>
                <w:rFonts w:hint="eastAsia" w:ascii="宋体" w:hAnsi="宋体" w:eastAsia="宋体" w:cs="宋体"/>
                <w:b/>
                <w:bCs/>
                <w:sz w:val="24"/>
              </w:rPr>
              <w:t>4</w:t>
            </w:r>
            <w:r>
              <w:rPr>
                <w:rFonts w:ascii="宋体" w:hAnsi="宋体" w:eastAsia="宋体" w:cs="宋体"/>
                <w:b/>
                <w:bCs/>
                <w:sz w:val="24"/>
              </w:rPr>
              <w:t xml:space="preserve"> 本项目工艺流程及产污环节图</w:t>
            </w:r>
          </w:p>
          <w:p>
            <w:pPr>
              <w:pStyle w:val="21"/>
              <w:spacing w:beforeAutospacing="0" w:afterAutospacing="0" w:line="480" w:lineRule="exact"/>
              <w:rPr>
                <w:rFonts w:ascii="宋体" w:hAnsi="宋体" w:eastAsia="宋体" w:cs="宋体"/>
              </w:rPr>
            </w:pPr>
            <w:r>
              <w:rPr>
                <w:rFonts w:hint="eastAsia" w:ascii="宋体" w:hAnsi="宋体" w:eastAsia="宋体" w:cs="宋体"/>
                <w:b/>
                <w:bCs/>
              </w:rPr>
              <w:t>工艺流程说明：</w:t>
            </w:r>
          </w:p>
          <w:p>
            <w:pPr>
              <w:pStyle w:val="21"/>
              <w:numPr>
                <w:ilvl w:val="0"/>
                <w:numId w:val="5"/>
              </w:numPr>
              <w:spacing w:beforeAutospacing="0" w:afterAutospacing="0" w:line="480" w:lineRule="exact"/>
              <w:ind w:firstLine="480"/>
              <w:rPr>
                <w:rFonts w:ascii="宋体" w:hAnsi="宋体" w:eastAsia="宋体" w:cs="宋体"/>
              </w:rPr>
            </w:pPr>
            <w:r>
              <w:rPr>
                <w:rFonts w:hint="eastAsia" w:ascii="宋体" w:hAnsi="宋体" w:eastAsia="宋体" w:cs="宋体"/>
              </w:rPr>
              <w:t>本项目委托有资质运输公司从白城市及周边城市的汽车维修厂、4S店等单位收集</w:t>
            </w:r>
            <w:r>
              <w:rPr>
                <w:rFonts w:hint="eastAsia" w:ascii="宋体" w:hAnsi="宋体" w:eastAsia="宋体" w:cs="宋体"/>
                <w:color w:val="111111"/>
                <w:shd w:val="clear" w:color="auto" w:fill="FFFFFF"/>
              </w:rPr>
              <w:t>机动车维修活动中产生的</w:t>
            </w:r>
            <w:r>
              <w:rPr>
                <w:rFonts w:hint="eastAsia" w:ascii="宋体" w:hAnsi="宋体" w:eastAsia="宋体" w:cs="宋体"/>
              </w:rPr>
              <w:t>废机油。项目用危险废物运输车，回收运输车辆需配备相应的应急设备，包括：消防设施、急救设备、防护装备、去污净化器具、通讯工具及检修工具等。危险废物运输车应有明确的标准化警示标志。在标签上详细标明危险废物的名称、重量、成分、特性以及发生泄漏、扩散污染事故时的应急措施和补救方法，并按《危险废物转移联单管理办法》及其有关规定办理转移手续。在废机油收集过程中，企业委托专业的运输公司车辆对其进行收集，同时，专用收集车辆车厢内设置防渗、防漏失油罐，加盖密封，防止油泄露。由公司工作人员定期联系当地废机油产生单位（修理厂、4S店、机械加工厂），对其产生的废机油进行收集，运输至本厂区暂存。</w:t>
            </w:r>
          </w:p>
          <w:p>
            <w:pPr>
              <w:pStyle w:val="21"/>
              <w:spacing w:beforeAutospacing="0" w:afterAutospacing="0" w:line="480" w:lineRule="exact"/>
              <w:ind w:firstLine="480" w:firstLineChars="200"/>
              <w:rPr>
                <w:rFonts w:ascii="宋体" w:hAnsi="宋体" w:eastAsia="宋体" w:cs="宋体"/>
              </w:rPr>
            </w:pPr>
            <w:r>
              <w:rPr>
                <w:rFonts w:hint="eastAsia" w:ascii="宋体" w:hAnsi="宋体" w:eastAsia="宋体" w:cs="宋体"/>
              </w:rPr>
              <w:t>（2）临时贮存：废机油供收双方应签订协议，明确各自责任，各产生废机油的企业（主要有汽车4S店、汽车修理厂等）均应设置储存场所，并根据危险废物储存情况，定时与公司联系，由公司委托有资质运输公司采用专用运输车到企业及时收运。废机油由运输车运输至厂区，不设中转罐。专用罐车运输到场后经专用运输通道至废机油仓储库房内，经由油泵打入油罐内，输空后油桶即由运输车辆运走，返还给废矿物油产生企业。</w:t>
            </w:r>
          </w:p>
          <w:p>
            <w:pPr>
              <w:pStyle w:val="21"/>
              <w:spacing w:beforeAutospacing="0" w:afterAutospacing="0" w:line="480" w:lineRule="exact"/>
              <w:ind w:firstLine="480"/>
              <w:rPr>
                <w:rFonts w:ascii="宋体" w:hAnsi="宋体" w:eastAsia="宋体" w:cs="宋体"/>
              </w:rPr>
            </w:pPr>
            <w:r>
              <w:rPr>
                <w:rFonts w:hint="eastAsia" w:ascii="宋体" w:hAnsi="宋体" w:eastAsia="宋体" w:cs="宋体"/>
              </w:rPr>
              <w:t>本项目废机油暂存车间内设置有1个废</w:t>
            </w:r>
            <w:r>
              <w:rPr>
                <w:rFonts w:hint="eastAsia" w:ascii="宋体" w:hAnsi="宋体" w:eastAsia="宋体" w:cs="宋体"/>
                <w:lang w:eastAsia="zh-CN"/>
              </w:rPr>
              <w:t>机</w:t>
            </w:r>
            <w:r>
              <w:rPr>
                <w:rFonts w:hint="eastAsia" w:ascii="宋体" w:hAnsi="宋体" w:eastAsia="宋体" w:cs="宋体"/>
              </w:rPr>
              <w:t>油储罐，废油收集量不宜超过储罐荷载储存量的9</w:t>
            </w:r>
            <w:r>
              <w:rPr>
                <w:rFonts w:hint="eastAsia" w:ascii="宋体" w:hAnsi="宋体" w:eastAsia="宋体" w:cs="宋体"/>
                <w:lang w:val="en-US" w:eastAsia="zh-CN"/>
              </w:rPr>
              <w:t>0</w:t>
            </w:r>
            <w:r>
              <w:rPr>
                <w:rFonts w:hint="eastAsia" w:ascii="宋体" w:hAnsi="宋体" w:eastAsia="宋体" w:cs="宋体"/>
              </w:rPr>
              <w:t>%，应合理控制暂存废油量。</w:t>
            </w:r>
          </w:p>
          <w:p>
            <w:pPr>
              <w:pStyle w:val="21"/>
              <w:spacing w:beforeAutospacing="0" w:afterAutospacing="0" w:line="480" w:lineRule="exact"/>
              <w:ind w:firstLine="482"/>
              <w:rPr>
                <w:rFonts w:ascii="宋体" w:hAnsi="宋体" w:eastAsia="宋体" w:cs="宋体"/>
              </w:rPr>
            </w:pPr>
            <w:r>
              <w:rPr>
                <w:rFonts w:hint="eastAsia" w:ascii="宋体" w:hAnsi="宋体" w:eastAsia="宋体" w:cs="宋体"/>
              </w:rPr>
              <w:t>储油罐为钢制结构，防渗漏防静电处理。本项目主要为废机油的临时暂存，不涉及处置和加工，年中转量为500t，贮存场所内的单次最大贮存量为10t，废机油每7天转运一次，每年末即外协资质单位进行转运，满足年转运各种废机油一共500t的要求。废机油仓库地面其渗透系数≤10</w:t>
            </w:r>
            <w:r>
              <w:rPr>
                <w:rFonts w:hint="eastAsia" w:ascii="宋体" w:hAnsi="宋体" w:eastAsia="宋体" w:cs="宋体"/>
                <w:vertAlign w:val="superscript"/>
              </w:rPr>
              <w:t>-10</w:t>
            </w:r>
            <w:r>
              <w:rPr>
                <w:rFonts w:hint="eastAsia" w:ascii="宋体" w:hAnsi="宋体" w:eastAsia="宋体" w:cs="宋体"/>
              </w:rPr>
              <w:t>cm/s</w:t>
            </w:r>
            <w:r>
              <w:rPr>
                <w:rFonts w:hint="eastAsia" w:ascii="宋体" w:hAnsi="宋体" w:eastAsia="宋体" w:cs="宋体"/>
                <w:lang w:eastAsia="zh-CN"/>
              </w:rPr>
              <w:t>，</w:t>
            </w:r>
            <w:r>
              <w:rPr>
                <w:rFonts w:hint="eastAsia" w:ascii="宋体" w:hAnsi="宋体" w:eastAsia="宋体" w:cs="宋体"/>
              </w:rPr>
              <w:t>建设废机油收集和导流系统，罐区周围建设围堤。贮油油罐设置呼吸孔，呼吸口并加装</w:t>
            </w:r>
            <w:r>
              <w:rPr>
                <w:rFonts w:hint="eastAsia" w:ascii="宋体" w:hAnsi="宋体" w:eastAsia="宋体" w:cs="宋体"/>
                <w:lang w:eastAsia="zh-CN"/>
              </w:rPr>
              <w:t>集气罩</w:t>
            </w:r>
            <w:r>
              <w:rPr>
                <w:rFonts w:hint="eastAsia" w:ascii="宋体" w:hAnsi="宋体" w:eastAsia="宋体" w:cs="宋体"/>
                <w:lang w:val="en-US" w:eastAsia="zh-CN"/>
              </w:rPr>
              <w:t>+</w:t>
            </w:r>
            <w:r>
              <w:rPr>
                <w:rFonts w:hint="eastAsia" w:ascii="宋体" w:hAnsi="宋体" w:eastAsia="宋体" w:cs="宋体"/>
              </w:rPr>
              <w:t>活性炭吸附装置，防止气体膨胀，安装防护罩，防止杂质落入。</w:t>
            </w:r>
          </w:p>
          <w:p>
            <w:pPr>
              <w:pStyle w:val="21"/>
              <w:spacing w:beforeAutospacing="0" w:afterAutospacing="0" w:line="480" w:lineRule="exact"/>
              <w:ind w:firstLine="482"/>
              <w:rPr>
                <w:rFonts w:ascii="宋体" w:hAnsi="宋体" w:eastAsia="宋体" w:cs="宋体"/>
              </w:rPr>
            </w:pPr>
            <w:r>
              <w:rPr>
                <w:rFonts w:hint="eastAsia" w:ascii="宋体" w:hAnsi="宋体" w:eastAsia="宋体" w:cs="宋体"/>
                <w:spacing w:val="-6"/>
              </w:rPr>
              <w:t>项目的危废储存区严格按照《危险废物贮存污染控制标准》（GB18597-2001）</w:t>
            </w:r>
            <w:r>
              <w:rPr>
                <w:rFonts w:hint="eastAsia" w:ascii="宋体" w:hAnsi="宋体" w:eastAsia="宋体" w:cs="宋体"/>
              </w:rPr>
              <w:t>的要求规范建设和维护使用，并制定好该项目固体废物特别是危险废物转移运输中的污染防范及事故应急措施。废机油运至厂区后，由泵打入储罐，罐区应由专人管理，并建立详细的台账记录，制定相应的规章制度，保证危险废物无流失。</w:t>
            </w:r>
          </w:p>
          <w:p>
            <w:pPr>
              <w:pStyle w:val="21"/>
              <w:spacing w:beforeAutospacing="0" w:afterAutospacing="0" w:line="480" w:lineRule="exact"/>
              <w:ind w:firstLine="482"/>
              <w:rPr>
                <w:rFonts w:ascii="宋体" w:hAnsi="宋体" w:eastAsia="宋体" w:cs="宋体"/>
              </w:rPr>
            </w:pPr>
            <w:r>
              <w:rPr>
                <w:rFonts w:hint="eastAsia" w:ascii="宋体" w:hAnsi="宋体" w:eastAsia="宋体" w:cs="宋体"/>
              </w:rPr>
              <w:t>（3）转运：根据项目废油储罐的设计要求，本项目废机油单次最大贮存量为10t，委托有危废运输资质的物流公司，派出油罐运输车辆对厂区收储的废矿物油进行外运，填写危险废物转移联单，运送废矿物油至下游有资质的处理单位进行加工再利用。</w:t>
            </w:r>
          </w:p>
          <w:p>
            <w:pPr>
              <w:pStyle w:val="21"/>
              <w:spacing w:beforeAutospacing="0" w:afterAutospacing="0" w:line="360" w:lineRule="auto"/>
              <w:ind w:firstLine="482"/>
              <w:rPr>
                <w:rFonts w:ascii="宋体" w:hAnsi="宋体"/>
                <w:b/>
              </w:rPr>
            </w:pPr>
            <w:r>
              <w:rPr>
                <w:rFonts w:hint="eastAsia" w:ascii="宋体" w:hAnsi="宋体"/>
                <w:b/>
                <w:lang w:val="en-US" w:eastAsia="zh-CN"/>
              </w:rPr>
              <w:t>三</w:t>
            </w:r>
            <w:r>
              <w:rPr>
                <w:rFonts w:hint="eastAsia" w:ascii="宋体" w:hAnsi="宋体"/>
                <w:b/>
              </w:rPr>
              <w:t>、运营期主要产污环节</w:t>
            </w:r>
          </w:p>
          <w:p>
            <w:pPr>
              <w:adjustRightInd w:val="0"/>
              <w:snapToGrid w:val="0"/>
              <w:spacing w:line="360" w:lineRule="auto"/>
              <w:ind w:firstLine="482" w:firstLineChars="200"/>
              <w:jc w:val="left"/>
              <w:rPr>
                <w:b/>
                <w:sz w:val="24"/>
              </w:rPr>
            </w:pPr>
            <w:r>
              <w:rPr>
                <w:rFonts w:hint="eastAsia"/>
                <w:b/>
                <w:sz w:val="24"/>
              </w:rPr>
              <w:t>（1）本项目产污环节</w:t>
            </w:r>
          </w:p>
          <w:p>
            <w:pPr>
              <w:tabs>
                <w:tab w:val="left" w:pos="1080"/>
              </w:tabs>
              <w:autoSpaceDE w:val="0"/>
              <w:autoSpaceDN w:val="0"/>
              <w:spacing w:line="360" w:lineRule="auto"/>
              <w:ind w:firstLine="465"/>
              <w:jc w:val="left"/>
              <w:rPr>
                <w:rFonts w:hint="eastAsia"/>
                <w:sz w:val="24"/>
              </w:rPr>
            </w:pPr>
            <w:r>
              <w:rPr>
                <w:rFonts w:hint="eastAsia"/>
                <w:sz w:val="24"/>
              </w:rPr>
              <w:t>本项目运营期主要产排污节点详见下表：</w:t>
            </w:r>
          </w:p>
          <w:p>
            <w:pPr>
              <w:tabs>
                <w:tab w:val="left" w:pos="1080"/>
              </w:tabs>
              <w:autoSpaceDE w:val="0"/>
              <w:autoSpaceDN w:val="0"/>
              <w:spacing w:line="480" w:lineRule="auto"/>
              <w:jc w:val="center"/>
              <w:rPr>
                <w:b/>
              </w:rPr>
            </w:pPr>
            <w:r>
              <w:rPr>
                <w:rFonts w:hint="eastAsia"/>
                <w:b/>
                <w:sz w:val="24"/>
              </w:rPr>
              <w:t>表1</w:t>
            </w:r>
            <w:r>
              <w:rPr>
                <w:rFonts w:hint="eastAsia"/>
                <w:b/>
                <w:sz w:val="24"/>
                <w:lang w:val="en-US" w:eastAsia="zh-CN"/>
              </w:rPr>
              <w:t>5</w:t>
            </w:r>
            <w:r>
              <w:rPr>
                <w:rFonts w:hint="eastAsia"/>
                <w:b/>
                <w:sz w:val="24"/>
              </w:rPr>
              <w:t xml:space="preserve">   本项目运营期产污环节一览表</w:t>
            </w:r>
          </w:p>
          <w:tbl>
            <w:tblPr>
              <w:tblStyle w:val="25"/>
              <w:tblW w:w="79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59"/>
              <w:gridCol w:w="708"/>
              <w:gridCol w:w="1665"/>
              <w:gridCol w:w="2557"/>
              <w:gridCol w:w="25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459" w:type="dxa"/>
                  <w:shd w:val="clear" w:color="auto" w:fill="auto"/>
                  <w:noWrap/>
                  <w:vAlign w:val="center"/>
                </w:tcPr>
                <w:p>
                  <w:pPr>
                    <w:tabs>
                      <w:tab w:val="left" w:pos="1080"/>
                    </w:tabs>
                    <w:autoSpaceDE w:val="0"/>
                    <w:autoSpaceDN w:val="0"/>
                    <w:jc w:val="center"/>
                    <w:rPr>
                      <w:b/>
                      <w:bCs/>
                    </w:rPr>
                  </w:pPr>
                  <w:r>
                    <w:rPr>
                      <w:rFonts w:hint="eastAsia"/>
                      <w:b/>
                      <w:bCs/>
                    </w:rPr>
                    <w:t>序号</w:t>
                  </w:r>
                </w:p>
              </w:tc>
              <w:tc>
                <w:tcPr>
                  <w:tcW w:w="708" w:type="dxa"/>
                  <w:shd w:val="clear" w:color="auto" w:fill="auto"/>
                  <w:noWrap/>
                  <w:vAlign w:val="center"/>
                </w:tcPr>
                <w:p>
                  <w:pPr>
                    <w:tabs>
                      <w:tab w:val="left" w:pos="1080"/>
                    </w:tabs>
                    <w:autoSpaceDE w:val="0"/>
                    <w:autoSpaceDN w:val="0"/>
                    <w:jc w:val="center"/>
                    <w:rPr>
                      <w:b/>
                      <w:bCs/>
                    </w:rPr>
                  </w:pPr>
                  <w:r>
                    <w:rPr>
                      <w:rFonts w:hint="eastAsia"/>
                      <w:b/>
                      <w:bCs/>
                    </w:rPr>
                    <w:t>产污</w:t>
                  </w:r>
                </w:p>
                <w:p>
                  <w:pPr>
                    <w:tabs>
                      <w:tab w:val="left" w:pos="1080"/>
                    </w:tabs>
                    <w:autoSpaceDE w:val="0"/>
                    <w:autoSpaceDN w:val="0"/>
                    <w:jc w:val="center"/>
                    <w:rPr>
                      <w:b/>
                      <w:bCs/>
                    </w:rPr>
                  </w:pPr>
                  <w:r>
                    <w:rPr>
                      <w:rFonts w:hint="eastAsia"/>
                      <w:b/>
                      <w:bCs/>
                    </w:rPr>
                    <w:t>类别</w:t>
                  </w:r>
                </w:p>
              </w:tc>
              <w:tc>
                <w:tcPr>
                  <w:tcW w:w="1665" w:type="dxa"/>
                  <w:shd w:val="clear" w:color="auto" w:fill="auto"/>
                  <w:noWrap/>
                  <w:vAlign w:val="center"/>
                </w:tcPr>
                <w:p>
                  <w:pPr>
                    <w:tabs>
                      <w:tab w:val="left" w:pos="1080"/>
                    </w:tabs>
                    <w:autoSpaceDE w:val="0"/>
                    <w:autoSpaceDN w:val="0"/>
                    <w:jc w:val="center"/>
                    <w:rPr>
                      <w:b/>
                      <w:bCs/>
                    </w:rPr>
                  </w:pPr>
                  <w:r>
                    <w:rPr>
                      <w:rFonts w:hint="eastAsia"/>
                      <w:b/>
                      <w:bCs/>
                    </w:rPr>
                    <w:t>产污环节</w:t>
                  </w:r>
                </w:p>
              </w:tc>
              <w:tc>
                <w:tcPr>
                  <w:tcW w:w="2557" w:type="dxa"/>
                  <w:noWrap/>
                  <w:vAlign w:val="center"/>
                </w:tcPr>
                <w:p>
                  <w:pPr>
                    <w:tabs>
                      <w:tab w:val="left" w:pos="1080"/>
                    </w:tabs>
                    <w:autoSpaceDE w:val="0"/>
                    <w:autoSpaceDN w:val="0"/>
                    <w:jc w:val="center"/>
                    <w:rPr>
                      <w:b/>
                      <w:bCs/>
                    </w:rPr>
                  </w:pPr>
                  <w:r>
                    <w:rPr>
                      <w:rFonts w:hint="eastAsia"/>
                      <w:b/>
                      <w:bCs/>
                    </w:rPr>
                    <w:t>污染因子</w:t>
                  </w:r>
                </w:p>
              </w:tc>
              <w:tc>
                <w:tcPr>
                  <w:tcW w:w="2518" w:type="dxa"/>
                  <w:noWrap/>
                  <w:vAlign w:val="center"/>
                </w:tcPr>
                <w:p>
                  <w:pPr>
                    <w:tabs>
                      <w:tab w:val="left" w:pos="1080"/>
                    </w:tabs>
                    <w:autoSpaceDE w:val="0"/>
                    <w:autoSpaceDN w:val="0"/>
                    <w:jc w:val="center"/>
                    <w:rPr>
                      <w:b/>
                      <w:bCs/>
                    </w:rPr>
                  </w:pPr>
                  <w:r>
                    <w:rPr>
                      <w:rFonts w:hint="eastAsia"/>
                      <w:b/>
                      <w:bCs/>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1" w:hRule="atLeast"/>
              </w:trPr>
              <w:tc>
                <w:tcPr>
                  <w:tcW w:w="459" w:type="dxa"/>
                  <w:vMerge w:val="restart"/>
                  <w:shd w:val="clear" w:color="auto" w:fill="auto"/>
                  <w:noWrap/>
                  <w:vAlign w:val="center"/>
                </w:tcPr>
                <w:p>
                  <w:pPr>
                    <w:tabs>
                      <w:tab w:val="left" w:pos="1080"/>
                    </w:tabs>
                    <w:autoSpaceDE w:val="0"/>
                    <w:autoSpaceDN w:val="0"/>
                    <w:jc w:val="center"/>
                  </w:pPr>
                  <w:r>
                    <w:rPr>
                      <w:rFonts w:hint="eastAsia"/>
                    </w:rPr>
                    <w:t>1</w:t>
                  </w:r>
                </w:p>
              </w:tc>
              <w:tc>
                <w:tcPr>
                  <w:tcW w:w="708" w:type="dxa"/>
                  <w:vMerge w:val="restart"/>
                  <w:shd w:val="clear" w:color="auto" w:fill="auto"/>
                  <w:noWrap/>
                  <w:vAlign w:val="center"/>
                </w:tcPr>
                <w:p>
                  <w:pPr>
                    <w:tabs>
                      <w:tab w:val="left" w:pos="1080"/>
                    </w:tabs>
                    <w:autoSpaceDE w:val="0"/>
                    <w:autoSpaceDN w:val="0"/>
                    <w:jc w:val="center"/>
                  </w:pPr>
                  <w:r>
                    <w:rPr>
                      <w:rFonts w:hint="eastAsia"/>
                    </w:rPr>
                    <w:t>废水</w:t>
                  </w:r>
                </w:p>
              </w:tc>
              <w:tc>
                <w:tcPr>
                  <w:tcW w:w="1665" w:type="dxa"/>
                  <w:shd w:val="clear" w:color="auto" w:fill="auto"/>
                  <w:noWrap/>
                  <w:vAlign w:val="center"/>
                </w:tcPr>
                <w:p>
                  <w:pPr>
                    <w:tabs>
                      <w:tab w:val="left" w:pos="1080"/>
                    </w:tabs>
                    <w:autoSpaceDE w:val="0"/>
                    <w:autoSpaceDN w:val="0"/>
                    <w:jc w:val="center"/>
                  </w:pPr>
                  <w:r>
                    <w:rPr>
                      <w:rFonts w:hint="eastAsia"/>
                    </w:rPr>
                    <w:t>职工生活污水</w:t>
                  </w:r>
                </w:p>
              </w:tc>
              <w:tc>
                <w:tcPr>
                  <w:tcW w:w="2557" w:type="dxa"/>
                  <w:noWrap/>
                  <w:vAlign w:val="center"/>
                </w:tcPr>
                <w:p>
                  <w:pPr>
                    <w:tabs>
                      <w:tab w:val="left" w:pos="1080"/>
                    </w:tabs>
                    <w:autoSpaceDE w:val="0"/>
                    <w:autoSpaceDN w:val="0"/>
                    <w:jc w:val="center"/>
                  </w:pPr>
                  <w:r>
                    <w:rPr>
                      <w:rFonts w:hint="eastAsia"/>
                    </w:rPr>
                    <w:t>COD、SS、BOD</w:t>
                  </w:r>
                  <w:r>
                    <w:rPr>
                      <w:rFonts w:hint="eastAsia"/>
                      <w:vertAlign w:val="subscript"/>
                    </w:rPr>
                    <w:t>5</w:t>
                  </w:r>
                  <w:r>
                    <w:rPr>
                      <w:rFonts w:hint="eastAsia"/>
                    </w:rPr>
                    <w:t>、氨氮</w:t>
                  </w:r>
                </w:p>
              </w:tc>
              <w:tc>
                <w:tcPr>
                  <w:tcW w:w="2518" w:type="dxa"/>
                  <w:noWrap/>
                  <w:vAlign w:val="center"/>
                </w:tcPr>
                <w:p>
                  <w:pPr>
                    <w:tabs>
                      <w:tab w:val="left" w:pos="1080"/>
                    </w:tabs>
                    <w:autoSpaceDE w:val="0"/>
                    <w:autoSpaceDN w:val="0"/>
                    <w:jc w:val="center"/>
                  </w:pPr>
                  <w:r>
                    <w:rPr>
                      <w:rFonts w:hint="eastAsia"/>
                    </w:rPr>
                    <w:t>排入园区污水管网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703" w:hRule="atLeast"/>
              </w:trPr>
              <w:tc>
                <w:tcPr>
                  <w:tcW w:w="459" w:type="dxa"/>
                  <w:vMerge w:val="continue"/>
                  <w:shd w:val="clear" w:color="auto" w:fill="auto"/>
                  <w:noWrap/>
                  <w:vAlign w:val="center"/>
                </w:tcPr>
                <w:p>
                  <w:pPr>
                    <w:tabs>
                      <w:tab w:val="left" w:pos="1080"/>
                    </w:tabs>
                    <w:autoSpaceDE w:val="0"/>
                    <w:autoSpaceDN w:val="0"/>
                    <w:jc w:val="center"/>
                  </w:pPr>
                </w:p>
              </w:tc>
              <w:tc>
                <w:tcPr>
                  <w:tcW w:w="708" w:type="dxa"/>
                  <w:vMerge w:val="continue"/>
                  <w:shd w:val="clear" w:color="auto" w:fill="auto"/>
                  <w:noWrap/>
                  <w:vAlign w:val="center"/>
                </w:tcPr>
                <w:p>
                  <w:pPr>
                    <w:tabs>
                      <w:tab w:val="left" w:pos="1080"/>
                    </w:tabs>
                    <w:autoSpaceDE w:val="0"/>
                    <w:autoSpaceDN w:val="0"/>
                    <w:jc w:val="center"/>
                  </w:pPr>
                </w:p>
              </w:tc>
              <w:tc>
                <w:tcPr>
                  <w:tcW w:w="1665" w:type="dxa"/>
                  <w:shd w:val="clear" w:color="auto" w:fill="auto"/>
                  <w:noWrap/>
                  <w:vAlign w:val="center"/>
                </w:tcPr>
                <w:p>
                  <w:pPr>
                    <w:tabs>
                      <w:tab w:val="left" w:pos="1080"/>
                    </w:tabs>
                    <w:autoSpaceDE w:val="0"/>
                    <w:autoSpaceDN w:val="0"/>
                    <w:jc w:val="center"/>
                  </w:pPr>
                  <w:r>
                    <w:rPr>
                      <w:rFonts w:hint="eastAsia"/>
                    </w:rPr>
                    <w:t>地面清洗废水</w:t>
                  </w:r>
                </w:p>
                <w:p>
                  <w:pPr>
                    <w:tabs>
                      <w:tab w:val="left" w:pos="1080"/>
                    </w:tabs>
                    <w:autoSpaceDE w:val="0"/>
                    <w:autoSpaceDN w:val="0"/>
                    <w:jc w:val="center"/>
                  </w:pPr>
                  <w:r>
                    <w:rPr>
                      <w:rFonts w:hint="eastAsia"/>
                    </w:rPr>
                    <w:t>初期雨水</w:t>
                  </w:r>
                </w:p>
              </w:tc>
              <w:tc>
                <w:tcPr>
                  <w:tcW w:w="2557" w:type="dxa"/>
                  <w:noWrap/>
                  <w:vAlign w:val="center"/>
                </w:tcPr>
                <w:p>
                  <w:pPr>
                    <w:tabs>
                      <w:tab w:val="left" w:pos="1080"/>
                    </w:tabs>
                    <w:autoSpaceDE w:val="0"/>
                    <w:autoSpaceDN w:val="0"/>
                    <w:jc w:val="center"/>
                  </w:pPr>
                  <w:r>
                    <w:rPr>
                      <w:rFonts w:hint="eastAsia"/>
                    </w:rPr>
                    <w:t>SS、石油类</w:t>
                  </w:r>
                </w:p>
              </w:tc>
              <w:tc>
                <w:tcPr>
                  <w:tcW w:w="2518" w:type="dxa"/>
                  <w:noWrap/>
                  <w:vAlign w:val="center"/>
                </w:tcPr>
                <w:p>
                  <w:pPr>
                    <w:tabs>
                      <w:tab w:val="left" w:pos="1080"/>
                    </w:tabs>
                    <w:autoSpaceDE w:val="0"/>
                    <w:autoSpaceDN w:val="0"/>
                    <w:jc w:val="center"/>
                  </w:pPr>
                  <w:r>
                    <w:rPr>
                      <w:rFonts w:hint="eastAsia"/>
                    </w:rPr>
                    <w:t>经隔油</w:t>
                  </w:r>
                  <w:r>
                    <w:rPr>
                      <w:rFonts w:hint="eastAsia"/>
                      <w:lang w:val="en-US" w:eastAsia="zh-CN"/>
                    </w:rPr>
                    <w:t>+</w:t>
                  </w:r>
                  <w:r>
                    <w:rPr>
                      <w:rFonts w:hint="eastAsia"/>
                    </w:rPr>
                    <w:t>均质</w:t>
                  </w:r>
                  <w:r>
                    <w:rPr>
                      <w:rFonts w:hint="eastAsia"/>
                      <w:lang w:val="en-US" w:eastAsia="zh-CN"/>
                    </w:rPr>
                    <w:t>+</w:t>
                  </w:r>
                  <w:r>
                    <w:rPr>
                      <w:rFonts w:hint="eastAsia"/>
                    </w:rPr>
                    <w:t>絮凝沉淀+气浮后处理后循环使用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459" w:type="dxa"/>
                  <w:vMerge w:val="restart"/>
                  <w:shd w:val="clear" w:color="auto" w:fill="auto"/>
                  <w:noWrap/>
                  <w:vAlign w:val="center"/>
                </w:tcPr>
                <w:p>
                  <w:pPr>
                    <w:tabs>
                      <w:tab w:val="left" w:pos="1080"/>
                    </w:tabs>
                    <w:autoSpaceDE w:val="0"/>
                    <w:autoSpaceDN w:val="0"/>
                    <w:jc w:val="center"/>
                  </w:pPr>
                  <w:r>
                    <w:rPr>
                      <w:rFonts w:hint="eastAsia"/>
                    </w:rPr>
                    <w:t>2</w:t>
                  </w:r>
                </w:p>
              </w:tc>
              <w:tc>
                <w:tcPr>
                  <w:tcW w:w="708" w:type="dxa"/>
                  <w:vMerge w:val="restart"/>
                  <w:shd w:val="clear" w:color="auto" w:fill="auto"/>
                  <w:noWrap/>
                  <w:vAlign w:val="center"/>
                </w:tcPr>
                <w:p>
                  <w:pPr>
                    <w:tabs>
                      <w:tab w:val="left" w:pos="1080"/>
                    </w:tabs>
                    <w:autoSpaceDE w:val="0"/>
                    <w:autoSpaceDN w:val="0"/>
                    <w:jc w:val="center"/>
                  </w:pPr>
                  <w:r>
                    <w:rPr>
                      <w:rFonts w:hint="eastAsia"/>
                    </w:rPr>
                    <w:t>废气</w:t>
                  </w:r>
                </w:p>
              </w:tc>
              <w:tc>
                <w:tcPr>
                  <w:tcW w:w="1665" w:type="dxa"/>
                  <w:shd w:val="clear" w:color="auto" w:fill="auto"/>
                  <w:noWrap/>
                  <w:vAlign w:val="center"/>
                </w:tcPr>
                <w:p>
                  <w:pPr>
                    <w:tabs>
                      <w:tab w:val="left" w:pos="1080"/>
                    </w:tabs>
                    <w:autoSpaceDE w:val="0"/>
                    <w:autoSpaceDN w:val="0"/>
                    <w:jc w:val="center"/>
                    <w:rPr>
                      <w:spacing w:val="-6"/>
                    </w:rPr>
                  </w:pPr>
                  <w:r>
                    <w:rPr>
                      <w:spacing w:val="-6"/>
                    </w:rPr>
                    <w:t>切割粉尘、</w:t>
                  </w:r>
                </w:p>
                <w:p>
                  <w:pPr>
                    <w:tabs>
                      <w:tab w:val="left" w:pos="1080"/>
                    </w:tabs>
                    <w:autoSpaceDE w:val="0"/>
                    <w:autoSpaceDN w:val="0"/>
                    <w:jc w:val="center"/>
                  </w:pPr>
                  <w:r>
                    <w:rPr>
                      <w:spacing w:val="-6"/>
                    </w:rPr>
                    <w:t>压块打包粉尘</w:t>
                  </w:r>
                </w:p>
              </w:tc>
              <w:tc>
                <w:tcPr>
                  <w:tcW w:w="2557" w:type="dxa"/>
                  <w:noWrap/>
                  <w:vAlign w:val="center"/>
                </w:tcPr>
                <w:p>
                  <w:pPr>
                    <w:tabs>
                      <w:tab w:val="left" w:pos="1080"/>
                    </w:tabs>
                    <w:autoSpaceDE w:val="0"/>
                    <w:autoSpaceDN w:val="0"/>
                    <w:jc w:val="center"/>
                  </w:pPr>
                  <w:r>
                    <w:rPr>
                      <w:rFonts w:hint="eastAsia"/>
                    </w:rPr>
                    <w:t>颗粒物</w:t>
                  </w:r>
                </w:p>
              </w:tc>
              <w:tc>
                <w:tcPr>
                  <w:tcW w:w="2518" w:type="dxa"/>
                  <w:noWrap/>
                  <w:vAlign w:val="center"/>
                </w:tcPr>
                <w:p>
                  <w:pPr>
                    <w:tabs>
                      <w:tab w:val="left" w:pos="1080"/>
                    </w:tabs>
                    <w:autoSpaceDE w:val="0"/>
                    <w:autoSpaceDN w:val="0"/>
                    <w:jc w:val="center"/>
                  </w:pPr>
                  <w:r>
                    <w:rPr>
                      <w:rFonts w:hint="eastAsia"/>
                    </w:rPr>
                    <w:t>集气罩+</w:t>
                  </w:r>
                  <w:r>
                    <w:rPr>
                      <w:rFonts w:hint="eastAsia"/>
                      <w:lang w:eastAsia="zh-CN"/>
                    </w:rPr>
                    <w:t>布袋除尘</w:t>
                  </w:r>
                  <w:r>
                    <w:rPr>
                      <w:rFonts w:hint="eastAsia"/>
                    </w:rPr>
                    <w:t>+15m高排气筒；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04" w:hRule="atLeast"/>
              </w:trPr>
              <w:tc>
                <w:tcPr>
                  <w:tcW w:w="459" w:type="dxa"/>
                  <w:vMerge w:val="continue"/>
                  <w:shd w:val="clear" w:color="auto" w:fill="auto"/>
                  <w:noWrap/>
                  <w:vAlign w:val="center"/>
                </w:tcPr>
                <w:p>
                  <w:pPr>
                    <w:tabs>
                      <w:tab w:val="left" w:pos="1080"/>
                    </w:tabs>
                    <w:autoSpaceDE w:val="0"/>
                    <w:autoSpaceDN w:val="0"/>
                    <w:jc w:val="center"/>
                  </w:pPr>
                </w:p>
              </w:tc>
              <w:tc>
                <w:tcPr>
                  <w:tcW w:w="708" w:type="dxa"/>
                  <w:vMerge w:val="continue"/>
                  <w:shd w:val="clear" w:color="auto" w:fill="auto"/>
                  <w:noWrap/>
                  <w:vAlign w:val="center"/>
                </w:tcPr>
                <w:p>
                  <w:pPr>
                    <w:tabs>
                      <w:tab w:val="left" w:pos="1080"/>
                    </w:tabs>
                    <w:autoSpaceDE w:val="0"/>
                    <w:autoSpaceDN w:val="0"/>
                    <w:jc w:val="center"/>
                  </w:pPr>
                </w:p>
              </w:tc>
              <w:tc>
                <w:tcPr>
                  <w:tcW w:w="1665" w:type="dxa"/>
                  <w:shd w:val="clear" w:color="auto" w:fill="auto"/>
                  <w:noWrap/>
                  <w:vAlign w:val="center"/>
                </w:tcPr>
                <w:p>
                  <w:pPr>
                    <w:tabs>
                      <w:tab w:val="left" w:pos="1080"/>
                    </w:tabs>
                    <w:autoSpaceDE w:val="0"/>
                    <w:autoSpaceDN w:val="0"/>
                    <w:jc w:val="center"/>
                  </w:pPr>
                  <w:r>
                    <w:rPr>
                      <w:rFonts w:hint="eastAsia"/>
                    </w:rPr>
                    <w:t>拆解预处理</w:t>
                  </w:r>
                </w:p>
                <w:p>
                  <w:pPr>
                    <w:tabs>
                      <w:tab w:val="left" w:pos="1080"/>
                    </w:tabs>
                    <w:autoSpaceDE w:val="0"/>
                    <w:autoSpaceDN w:val="0"/>
                    <w:jc w:val="center"/>
                  </w:pPr>
                  <w:r>
                    <w:rPr>
                      <w:rFonts w:hint="eastAsia"/>
                    </w:rPr>
                    <w:t>废机油车间废气（又称危废间）</w:t>
                  </w:r>
                </w:p>
              </w:tc>
              <w:tc>
                <w:tcPr>
                  <w:tcW w:w="2557" w:type="dxa"/>
                  <w:noWrap/>
                  <w:vAlign w:val="center"/>
                </w:tcPr>
                <w:p>
                  <w:pPr>
                    <w:tabs>
                      <w:tab w:val="left" w:pos="1080"/>
                    </w:tabs>
                    <w:autoSpaceDE w:val="0"/>
                    <w:autoSpaceDN w:val="0"/>
                    <w:jc w:val="center"/>
                  </w:pPr>
                  <w:r>
                    <w:rPr>
                      <w:rFonts w:hint="eastAsia"/>
                    </w:rPr>
                    <w:t>以非甲烷总烃计</w:t>
                  </w:r>
                </w:p>
              </w:tc>
              <w:tc>
                <w:tcPr>
                  <w:tcW w:w="2518" w:type="dxa"/>
                  <w:noWrap/>
                  <w:vAlign w:val="center"/>
                </w:tcPr>
                <w:p>
                  <w:pPr>
                    <w:tabs>
                      <w:tab w:val="left" w:pos="1080"/>
                    </w:tabs>
                    <w:autoSpaceDE w:val="0"/>
                    <w:autoSpaceDN w:val="0"/>
                    <w:jc w:val="center"/>
                  </w:pPr>
                  <w:r>
                    <w:rPr>
                      <w:rFonts w:hint="eastAsia"/>
                    </w:rPr>
                    <w:t>“集气罩+活性炭吸附+15m高排气筒”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459" w:type="dxa"/>
                  <w:shd w:val="clear" w:color="auto" w:fill="auto"/>
                  <w:noWrap/>
                  <w:vAlign w:val="center"/>
                </w:tcPr>
                <w:p>
                  <w:pPr>
                    <w:tabs>
                      <w:tab w:val="left" w:pos="1080"/>
                    </w:tabs>
                    <w:autoSpaceDE w:val="0"/>
                    <w:autoSpaceDN w:val="0"/>
                    <w:jc w:val="center"/>
                  </w:pPr>
                  <w:r>
                    <w:rPr>
                      <w:rFonts w:hint="eastAsia"/>
                    </w:rPr>
                    <w:t>3</w:t>
                  </w:r>
                </w:p>
              </w:tc>
              <w:tc>
                <w:tcPr>
                  <w:tcW w:w="708" w:type="dxa"/>
                  <w:shd w:val="clear" w:color="auto" w:fill="auto"/>
                  <w:noWrap/>
                  <w:vAlign w:val="center"/>
                </w:tcPr>
                <w:p>
                  <w:pPr>
                    <w:tabs>
                      <w:tab w:val="left" w:pos="1080"/>
                    </w:tabs>
                    <w:autoSpaceDE w:val="0"/>
                    <w:autoSpaceDN w:val="0"/>
                    <w:jc w:val="center"/>
                  </w:pPr>
                  <w:r>
                    <w:rPr>
                      <w:rFonts w:hint="eastAsia"/>
                    </w:rPr>
                    <w:t>噪声</w:t>
                  </w:r>
                </w:p>
              </w:tc>
              <w:tc>
                <w:tcPr>
                  <w:tcW w:w="1665" w:type="dxa"/>
                  <w:shd w:val="clear" w:color="auto" w:fill="auto"/>
                  <w:noWrap/>
                  <w:vAlign w:val="center"/>
                </w:tcPr>
                <w:p>
                  <w:pPr>
                    <w:tabs>
                      <w:tab w:val="left" w:pos="1080"/>
                    </w:tabs>
                    <w:autoSpaceDE w:val="0"/>
                    <w:autoSpaceDN w:val="0"/>
                    <w:jc w:val="center"/>
                  </w:pPr>
                  <w:r>
                    <w:rPr>
                      <w:rFonts w:hint="eastAsia"/>
                    </w:rPr>
                    <w:t>拆解车间设备</w:t>
                  </w:r>
                </w:p>
              </w:tc>
              <w:tc>
                <w:tcPr>
                  <w:tcW w:w="2557" w:type="dxa"/>
                  <w:noWrap/>
                  <w:vAlign w:val="center"/>
                </w:tcPr>
                <w:p>
                  <w:pPr>
                    <w:tabs>
                      <w:tab w:val="left" w:pos="1080"/>
                    </w:tabs>
                    <w:autoSpaceDE w:val="0"/>
                    <w:autoSpaceDN w:val="0"/>
                    <w:jc w:val="center"/>
                  </w:pPr>
                  <w:r>
                    <w:rPr>
                      <w:rFonts w:hint="eastAsia"/>
                    </w:rPr>
                    <w:t>噪声</w:t>
                  </w:r>
                </w:p>
              </w:tc>
              <w:tc>
                <w:tcPr>
                  <w:tcW w:w="2518" w:type="dxa"/>
                  <w:noWrap/>
                  <w:vAlign w:val="center"/>
                </w:tcPr>
                <w:p>
                  <w:pPr>
                    <w:tabs>
                      <w:tab w:val="left" w:pos="1080"/>
                    </w:tabs>
                    <w:autoSpaceDE w:val="0"/>
                    <w:autoSpaceDN w:val="0"/>
                    <w:jc w:val="center"/>
                  </w:pPr>
                  <w:r>
                    <w:rPr>
                      <w:rFonts w:hint="eastAsia"/>
                    </w:rPr>
                    <w:t>减振、隔声等措施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0" w:hRule="atLeast"/>
              </w:trPr>
              <w:tc>
                <w:tcPr>
                  <w:tcW w:w="459" w:type="dxa"/>
                  <w:vMerge w:val="restart"/>
                  <w:shd w:val="clear" w:color="auto" w:fill="auto"/>
                  <w:noWrap/>
                  <w:vAlign w:val="center"/>
                </w:tcPr>
                <w:p>
                  <w:pPr>
                    <w:tabs>
                      <w:tab w:val="left" w:pos="1080"/>
                    </w:tabs>
                    <w:autoSpaceDE w:val="0"/>
                    <w:autoSpaceDN w:val="0"/>
                    <w:jc w:val="center"/>
                  </w:pPr>
                  <w:r>
                    <w:rPr>
                      <w:rFonts w:hint="eastAsia"/>
                    </w:rPr>
                    <w:t>4</w:t>
                  </w:r>
                </w:p>
              </w:tc>
              <w:tc>
                <w:tcPr>
                  <w:tcW w:w="708" w:type="dxa"/>
                  <w:vMerge w:val="restart"/>
                  <w:shd w:val="clear" w:color="auto" w:fill="auto"/>
                  <w:noWrap/>
                  <w:vAlign w:val="center"/>
                </w:tcPr>
                <w:p>
                  <w:pPr>
                    <w:tabs>
                      <w:tab w:val="left" w:pos="1080"/>
                    </w:tabs>
                    <w:autoSpaceDE w:val="0"/>
                    <w:autoSpaceDN w:val="0"/>
                    <w:jc w:val="center"/>
                  </w:pPr>
                  <w:r>
                    <w:rPr>
                      <w:rFonts w:hint="eastAsia"/>
                    </w:rPr>
                    <w:t>固体</w:t>
                  </w:r>
                </w:p>
                <w:p>
                  <w:pPr>
                    <w:tabs>
                      <w:tab w:val="left" w:pos="1080"/>
                    </w:tabs>
                    <w:autoSpaceDE w:val="0"/>
                    <w:autoSpaceDN w:val="0"/>
                    <w:jc w:val="center"/>
                  </w:pPr>
                  <w:r>
                    <w:rPr>
                      <w:rFonts w:hint="eastAsia"/>
                    </w:rPr>
                    <w:t>废物</w:t>
                  </w:r>
                </w:p>
              </w:tc>
              <w:tc>
                <w:tcPr>
                  <w:tcW w:w="1665" w:type="dxa"/>
                  <w:shd w:val="clear" w:color="auto" w:fill="auto"/>
                  <w:noWrap/>
                  <w:vAlign w:val="center"/>
                </w:tcPr>
                <w:p>
                  <w:pPr>
                    <w:tabs>
                      <w:tab w:val="left" w:pos="1080"/>
                    </w:tabs>
                    <w:autoSpaceDE w:val="0"/>
                    <w:autoSpaceDN w:val="0"/>
                    <w:jc w:val="center"/>
                  </w:pPr>
                  <w:r>
                    <w:rPr>
                      <w:rFonts w:hint="eastAsia"/>
                    </w:rPr>
                    <w:t>职工</w:t>
                  </w:r>
                </w:p>
              </w:tc>
              <w:tc>
                <w:tcPr>
                  <w:tcW w:w="2557" w:type="dxa"/>
                  <w:noWrap/>
                  <w:vAlign w:val="center"/>
                </w:tcPr>
                <w:p>
                  <w:pPr>
                    <w:tabs>
                      <w:tab w:val="left" w:pos="1080"/>
                    </w:tabs>
                    <w:autoSpaceDE w:val="0"/>
                    <w:autoSpaceDN w:val="0"/>
                    <w:jc w:val="center"/>
                    <w:rPr>
                      <w:rFonts w:hint="eastAsia" w:eastAsiaTheme="minorEastAsia"/>
                      <w:lang w:eastAsia="zh-CN"/>
                    </w:rPr>
                  </w:pPr>
                  <w:r>
                    <w:rPr>
                      <w:rFonts w:hint="eastAsia"/>
                    </w:rPr>
                    <w:t>生活垃圾</w:t>
                  </w:r>
                  <w:r>
                    <w:rPr>
                      <w:rFonts w:hint="eastAsia"/>
                      <w:lang w:eastAsia="zh-CN"/>
                    </w:rPr>
                    <w:t>、</w:t>
                  </w:r>
                  <w:r>
                    <w:rPr>
                      <w:rFonts w:hint="eastAsia"/>
                    </w:rPr>
                    <w:t>含油抹布和手套</w:t>
                  </w:r>
                </w:p>
              </w:tc>
              <w:tc>
                <w:tcPr>
                  <w:tcW w:w="2518" w:type="dxa"/>
                  <w:noWrap/>
                  <w:vAlign w:val="center"/>
                </w:tcPr>
                <w:p>
                  <w:pPr>
                    <w:tabs>
                      <w:tab w:val="left" w:pos="1080"/>
                    </w:tabs>
                    <w:autoSpaceDE w:val="0"/>
                    <w:autoSpaceDN w:val="0"/>
                    <w:jc w:val="center"/>
                    <w:rPr>
                      <w:rFonts w:hint="eastAsia"/>
                      <w:u w:val="single"/>
                      <w:lang w:eastAsia="zh-CN"/>
                    </w:rPr>
                  </w:pPr>
                  <w:r>
                    <w:rPr>
                      <w:rFonts w:hint="eastAsia"/>
                      <w:u w:val="single"/>
                    </w:rPr>
                    <w:t>含油抹布和手套全过程不按危险废物管理</w:t>
                  </w:r>
                  <w:r>
                    <w:rPr>
                      <w:rFonts w:hint="eastAsia"/>
                      <w:u w:val="single"/>
                      <w:lang w:eastAsia="zh-CN"/>
                    </w:rPr>
                    <w:t>，可直接与生活垃圾一起暂存，定期</w:t>
                  </w:r>
                </w:p>
                <w:p>
                  <w:pPr>
                    <w:tabs>
                      <w:tab w:val="left" w:pos="1080"/>
                    </w:tabs>
                    <w:autoSpaceDE w:val="0"/>
                    <w:autoSpaceDN w:val="0"/>
                    <w:jc w:val="center"/>
                  </w:pPr>
                  <w:r>
                    <w:rPr>
                      <w:rFonts w:hint="eastAsia"/>
                      <w:u w:val="single"/>
                      <w:lang w:eastAsia="zh-CN"/>
                    </w:rPr>
                    <w:t>交由</w:t>
                  </w:r>
                  <w:r>
                    <w:rPr>
                      <w:rFonts w:hint="eastAsia"/>
                      <w:u w:val="single"/>
                    </w:rPr>
                    <w:t>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76" w:hRule="atLeast"/>
              </w:trPr>
              <w:tc>
                <w:tcPr>
                  <w:tcW w:w="459" w:type="dxa"/>
                  <w:vMerge w:val="continue"/>
                  <w:shd w:val="clear" w:color="auto" w:fill="auto"/>
                  <w:noWrap/>
                  <w:vAlign w:val="center"/>
                </w:tcPr>
                <w:p>
                  <w:pPr>
                    <w:tabs>
                      <w:tab w:val="left" w:pos="1080"/>
                    </w:tabs>
                    <w:autoSpaceDE w:val="0"/>
                    <w:autoSpaceDN w:val="0"/>
                    <w:jc w:val="center"/>
                  </w:pPr>
                </w:p>
              </w:tc>
              <w:tc>
                <w:tcPr>
                  <w:tcW w:w="708" w:type="dxa"/>
                  <w:vMerge w:val="continue"/>
                  <w:shd w:val="clear" w:color="auto" w:fill="auto"/>
                  <w:noWrap/>
                  <w:vAlign w:val="center"/>
                </w:tcPr>
                <w:p>
                  <w:pPr>
                    <w:tabs>
                      <w:tab w:val="left" w:pos="1080"/>
                    </w:tabs>
                    <w:autoSpaceDE w:val="0"/>
                    <w:autoSpaceDN w:val="0"/>
                    <w:jc w:val="center"/>
                  </w:pPr>
                </w:p>
              </w:tc>
              <w:tc>
                <w:tcPr>
                  <w:tcW w:w="1665" w:type="dxa"/>
                  <w:vMerge w:val="restart"/>
                  <w:shd w:val="clear" w:color="auto" w:fill="auto"/>
                  <w:noWrap/>
                  <w:vAlign w:val="center"/>
                </w:tcPr>
                <w:p>
                  <w:pPr>
                    <w:tabs>
                      <w:tab w:val="left" w:pos="1080"/>
                    </w:tabs>
                    <w:autoSpaceDE w:val="0"/>
                    <w:autoSpaceDN w:val="0"/>
                    <w:jc w:val="center"/>
                  </w:pPr>
                  <w:r>
                    <w:rPr>
                      <w:rFonts w:hint="eastAsia"/>
                    </w:rPr>
                    <w:t>农机拆解</w:t>
                  </w:r>
                </w:p>
                <w:p>
                  <w:pPr>
                    <w:tabs>
                      <w:tab w:val="left" w:pos="1080"/>
                    </w:tabs>
                    <w:autoSpaceDE w:val="0"/>
                    <w:autoSpaceDN w:val="0"/>
                    <w:jc w:val="center"/>
                  </w:pPr>
                  <w:r>
                    <w:rPr>
                      <w:rFonts w:hint="eastAsia"/>
                    </w:rPr>
                    <w:t>废机油存储</w:t>
                  </w:r>
                </w:p>
              </w:tc>
              <w:tc>
                <w:tcPr>
                  <w:tcW w:w="2557" w:type="dxa"/>
                  <w:noWrap/>
                  <w:vAlign w:val="center"/>
                </w:tcPr>
                <w:p>
                  <w:pPr>
                    <w:tabs>
                      <w:tab w:val="left" w:pos="1080"/>
                    </w:tabs>
                    <w:autoSpaceDE w:val="0"/>
                    <w:autoSpaceDN w:val="0"/>
                    <w:jc w:val="center"/>
                  </w:pPr>
                  <w:r>
                    <w:rPr>
                      <w:rFonts w:hint="eastAsia"/>
                    </w:rPr>
                    <w:t>废油液、废尾气净化装置、废机油滤清器、废</w:t>
                  </w:r>
                  <w:r>
                    <w:rPr>
                      <w:rFonts w:hint="eastAsia"/>
                      <w:lang w:eastAsia="zh-CN"/>
                    </w:rPr>
                    <w:t>铅蓄</w:t>
                  </w:r>
                  <w:r>
                    <w:rPr>
                      <w:rFonts w:hint="eastAsia"/>
                    </w:rPr>
                    <w:t>电池</w:t>
                  </w:r>
                  <w:r>
                    <w:rPr>
                      <w:rFonts w:hint="default" w:asciiTheme="minorAscii" w:hAnsiTheme="minorAscii" w:eastAsiaTheme="minorEastAsia"/>
                      <w:spacing w:val="-6"/>
                      <w:sz w:val="21"/>
                    </w:rPr>
                    <w:t>废含汞开关、电路板、电容</w:t>
                  </w:r>
                  <w:r>
                    <w:rPr>
                      <w:rFonts w:hint="eastAsia"/>
                    </w:rPr>
                    <w:t>器</w:t>
                  </w:r>
                </w:p>
              </w:tc>
              <w:tc>
                <w:tcPr>
                  <w:tcW w:w="2518" w:type="dxa"/>
                  <w:noWrap/>
                  <w:vAlign w:val="center"/>
                </w:tcPr>
                <w:p>
                  <w:pPr>
                    <w:tabs>
                      <w:tab w:val="left" w:pos="1080"/>
                    </w:tabs>
                    <w:autoSpaceDE w:val="0"/>
                    <w:autoSpaceDN w:val="0"/>
                    <w:jc w:val="center"/>
                  </w:pPr>
                  <w:r>
                    <w:rPr>
                      <w:rFonts w:hint="eastAsia"/>
                    </w:rPr>
                    <w:t>分类使用专用容器装存，暂存于危险废物暂存间，定期交有资质单位处理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98" w:hRule="atLeast"/>
              </w:trPr>
              <w:tc>
                <w:tcPr>
                  <w:tcW w:w="459" w:type="dxa"/>
                  <w:vMerge w:val="continue"/>
                  <w:shd w:val="clear" w:color="auto" w:fill="auto"/>
                  <w:noWrap/>
                  <w:vAlign w:val="center"/>
                </w:tcPr>
                <w:p>
                  <w:pPr>
                    <w:tabs>
                      <w:tab w:val="left" w:pos="1080"/>
                    </w:tabs>
                    <w:autoSpaceDE w:val="0"/>
                    <w:autoSpaceDN w:val="0"/>
                    <w:jc w:val="center"/>
                  </w:pPr>
                </w:p>
              </w:tc>
              <w:tc>
                <w:tcPr>
                  <w:tcW w:w="708" w:type="dxa"/>
                  <w:vMerge w:val="continue"/>
                  <w:shd w:val="clear" w:color="auto" w:fill="auto"/>
                  <w:noWrap/>
                  <w:vAlign w:val="center"/>
                </w:tcPr>
                <w:p>
                  <w:pPr>
                    <w:tabs>
                      <w:tab w:val="left" w:pos="1080"/>
                    </w:tabs>
                    <w:autoSpaceDE w:val="0"/>
                    <w:autoSpaceDN w:val="0"/>
                    <w:jc w:val="center"/>
                  </w:pPr>
                </w:p>
              </w:tc>
              <w:tc>
                <w:tcPr>
                  <w:tcW w:w="1665" w:type="dxa"/>
                  <w:vMerge w:val="continue"/>
                  <w:shd w:val="clear" w:color="auto" w:fill="auto"/>
                  <w:noWrap/>
                  <w:vAlign w:val="center"/>
                </w:tcPr>
                <w:p>
                  <w:pPr>
                    <w:tabs>
                      <w:tab w:val="left" w:pos="1080"/>
                    </w:tabs>
                    <w:autoSpaceDE w:val="0"/>
                    <w:autoSpaceDN w:val="0"/>
                    <w:jc w:val="left"/>
                  </w:pPr>
                </w:p>
              </w:tc>
              <w:tc>
                <w:tcPr>
                  <w:tcW w:w="2557" w:type="dxa"/>
                  <w:noWrap/>
                  <w:vAlign w:val="center"/>
                </w:tcPr>
                <w:p>
                  <w:pPr>
                    <w:tabs>
                      <w:tab w:val="left" w:pos="1080"/>
                    </w:tabs>
                    <w:autoSpaceDE w:val="0"/>
                    <w:autoSpaceDN w:val="0"/>
                    <w:jc w:val="center"/>
                  </w:pPr>
                  <w:r>
                    <w:rPr>
                      <w:rFonts w:hint="eastAsia"/>
                    </w:rPr>
                    <w:t>毁形总成、废橡胶、废玻璃、钢铁、可用零部件、有色金属、废塑料、纤维、皮革等</w:t>
                  </w:r>
                </w:p>
              </w:tc>
              <w:tc>
                <w:tcPr>
                  <w:tcW w:w="2518" w:type="dxa"/>
                  <w:noWrap/>
                  <w:vAlign w:val="center"/>
                </w:tcPr>
                <w:p>
                  <w:pPr>
                    <w:tabs>
                      <w:tab w:val="left" w:pos="1080"/>
                    </w:tabs>
                    <w:autoSpaceDE w:val="0"/>
                    <w:autoSpaceDN w:val="0"/>
                    <w:jc w:val="center"/>
                  </w:pPr>
                  <w:r>
                    <w:rPr>
                      <w:rFonts w:hint="eastAsia"/>
                    </w:rPr>
                    <w:t>下游回收处理单位</w:t>
                  </w:r>
                </w:p>
              </w:tc>
            </w:tr>
          </w:tbl>
          <w:p>
            <w:pPr>
              <w:adjustRightInd w:val="0"/>
              <w:snapToGrid w:val="0"/>
              <w:ind w:firstLine="482"/>
              <w:rPr>
                <w:rFonts w:ascii="宋体" w:hAnsi="宋体" w:cs="宋体"/>
                <w:b/>
                <w:sz w:val="24"/>
              </w:rPr>
            </w:pPr>
          </w:p>
          <w:p>
            <w:pPr>
              <w:adjustRightInd w:val="0"/>
              <w:snapToGrid w:val="0"/>
              <w:spacing w:line="360" w:lineRule="auto"/>
              <w:ind w:firstLine="482"/>
              <w:rPr>
                <w:rFonts w:ascii="Times New Roman" w:hAnsi="Times New Roman" w:eastAsia="宋体"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450" w:type="dxa"/>
            <w:vAlign w:val="center"/>
          </w:tcPr>
          <w:p>
            <w:pPr>
              <w:snapToGrid w:val="0"/>
              <w:jc w:val="center"/>
            </w:pPr>
            <w:r>
              <w:t>与项目有关的原有环境污染问题</w:t>
            </w:r>
          </w:p>
        </w:tc>
        <w:tc>
          <w:tcPr>
            <w:tcW w:w="8315" w:type="dxa"/>
          </w:tcPr>
          <w:p>
            <w:pPr>
              <w:pStyle w:val="2"/>
              <w:ind w:firstLine="480"/>
              <w:rPr>
                <w:rFonts w:ascii="Times New Roman" w:hAnsi="Times New Roman" w:cs="Times New Roman"/>
                <w:color w:val="auto"/>
                <w:sz w:val="24"/>
                <w:szCs w:val="24"/>
              </w:rPr>
            </w:pPr>
          </w:p>
          <w:p>
            <w:pPr>
              <w:pStyle w:val="3"/>
            </w:pPr>
          </w:p>
          <w:p>
            <w:pPr>
              <w:pStyle w:val="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Times New Roman" w:hAnsi="Times New Roman" w:eastAsia="宋体" w:cs="Times New Roman"/>
              </w:rPr>
            </w:pPr>
            <w:r>
              <w:rPr>
                <w:rFonts w:hint="eastAsia" w:ascii="Times New Roman" w:hAnsi="Times New Roman" w:cs="Times New Roman"/>
                <w:color w:val="auto"/>
                <w:sz w:val="24"/>
                <w:szCs w:val="24"/>
                <w:u w:val="single"/>
              </w:rPr>
              <w:t>本项目租赁白城市国宾机械制造有限公司闲置厂房进行生产，现有厂房为空厂房，无生产设备。该公司2006年完成环境影响评价文件，批复文号白环园建字【2006】3号。生产规模为年产2734台农用机械。该项目现已停产多年，设备均已拆除，不存在污染土壤及地下水，目前现状为闲置厂房。本项目仅租赁其厂房，无任何依托关系，因此属于新建项目，无现存环境问题。</w:t>
            </w:r>
          </w:p>
        </w:tc>
      </w:tr>
    </w:tbl>
    <w:p>
      <w:pPr>
        <w:pStyle w:val="2"/>
        <w:ind w:firstLine="0" w:firstLineChars="0"/>
        <w:jc w:val="center"/>
        <w:outlineLvl w:val="0"/>
        <w:rPr>
          <w:rFonts w:ascii="Times New Roman" w:hAnsi="Times New Roman" w:eastAsia="宋体" w:cs="Times New Roman"/>
          <w:b/>
          <w:bCs/>
        </w:rPr>
      </w:pPr>
      <w:r>
        <w:rPr>
          <w:rFonts w:ascii="Times New Roman" w:hAnsi="Times New Roman" w:eastAsia="宋体" w:cs="Times New Roman"/>
          <w:color w:val="auto"/>
          <w:sz w:val="30"/>
          <w:szCs w:val="30"/>
          <w:highlight w:val="yellow"/>
        </w:rPr>
        <w:br w:type="column"/>
      </w:r>
      <w:r>
        <w:rPr>
          <w:rFonts w:ascii="Times New Roman" w:hAnsi="Times New Roman" w:eastAsia="宋体" w:cs="Times New Roman"/>
          <w:b/>
          <w:bCs/>
          <w:color w:val="auto"/>
          <w:sz w:val="28"/>
          <w:szCs w:val="28"/>
        </w:rPr>
        <w:t>三、区域环境质量现状、环境保护目标及评价标准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8" w:hRule="atLeast"/>
        </w:trPr>
        <w:tc>
          <w:tcPr>
            <w:tcW w:w="730" w:type="dxa"/>
            <w:vAlign w:val="center"/>
          </w:tcPr>
          <w:p>
            <w:pPr>
              <w:snapToGrid w:val="0"/>
              <w:spacing w:line="360" w:lineRule="auto"/>
              <w:jc w:val="center"/>
              <w:rPr>
                <w:rFonts w:ascii="Times New Roman" w:hAnsi="Times New Roman" w:eastAsia="宋体" w:cs="Times New Roman"/>
                <w:szCs w:val="21"/>
                <w:highlight w:val="yellow"/>
              </w:rPr>
            </w:pPr>
            <w:r>
              <w:rPr>
                <w:rFonts w:ascii="Times New Roman" w:hAnsi="Times New Roman" w:eastAsia="宋体" w:cs="Times New Roman"/>
                <w:sz w:val="24"/>
              </w:rPr>
              <w:t>区域环境质量现状</w:t>
            </w:r>
          </w:p>
        </w:tc>
        <w:tc>
          <w:tcPr>
            <w:tcW w:w="7990" w:type="dxa"/>
          </w:tcPr>
          <w:p>
            <w:pPr>
              <w:pStyle w:val="15"/>
              <w:spacing w:line="360" w:lineRule="auto"/>
              <w:ind w:left="0" w:leftChars="0" w:firstLine="482" w:firstLineChars="200"/>
              <w:rPr>
                <w:rFonts w:ascii="Times New Roman" w:hAnsi="Times New Roman" w:cs="Times New Roman"/>
                <w:b/>
                <w:bCs/>
                <w:sz w:val="24"/>
              </w:rPr>
            </w:pPr>
            <w:r>
              <w:rPr>
                <w:rFonts w:ascii="Times New Roman" w:hAnsi="Times New Roman" w:cs="Times New Roman"/>
                <w:b/>
                <w:bCs/>
                <w:sz w:val="24"/>
              </w:rPr>
              <w:t>1.</w:t>
            </w:r>
            <w:r>
              <w:rPr>
                <w:rFonts w:hint="eastAsia" w:ascii="宋体" w:hAnsi="宋体"/>
                <w:b/>
                <w:sz w:val="24"/>
              </w:rPr>
              <w:t>环境空气质量现状调查与评价</w:t>
            </w:r>
          </w:p>
          <w:p>
            <w:pPr>
              <w:autoSpaceDE w:val="0"/>
              <w:autoSpaceDN w:val="0"/>
              <w:adjustRightIn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根据吉林省生态环境厅《吉林省2021年生态环境状况公报》，</w:t>
            </w:r>
            <w:r>
              <w:rPr>
                <w:rFonts w:hint="eastAsia" w:ascii="Times New Roman" w:hAnsi="Times New Roman" w:cs="Times New Roman"/>
                <w:sz w:val="24"/>
              </w:rPr>
              <w:t>白城</w:t>
            </w:r>
            <w:r>
              <w:rPr>
                <w:rFonts w:ascii="Times New Roman" w:hAnsi="Times New Roman" w:cs="Times New Roman"/>
                <w:sz w:val="24"/>
              </w:rPr>
              <w:t>市环境空气质量主要污染物年均浓度见下图，统计结果见下图。</w:t>
            </w:r>
          </w:p>
          <w:p>
            <w:pPr>
              <w:autoSpaceDE w:val="0"/>
              <w:autoSpaceDN w:val="0"/>
              <w:adjustRightInd w:val="0"/>
              <w:spacing w:line="360" w:lineRule="auto"/>
              <w:jc w:val="left"/>
              <w:rPr>
                <w:rFonts w:ascii="Times New Roman" w:hAnsi="Times New Roman" w:cs="Times New Roman"/>
                <w:b/>
                <w:iCs/>
                <w:sz w:val="24"/>
              </w:rPr>
            </w:pPr>
            <w:r>
              <w:rPr>
                <w:rFonts w:ascii="Times New Roman" w:hAnsi="Times New Roman" w:cs="Times New Roman"/>
              </w:rPr>
              <w:drawing>
                <wp:inline distT="0" distB="0" distL="114300" distR="114300">
                  <wp:extent cx="4962525" cy="4168775"/>
                  <wp:effectExtent l="0" t="0" r="9525" b="317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2"/>
                          <a:stretch>
                            <a:fillRect/>
                          </a:stretch>
                        </pic:blipFill>
                        <pic:spPr>
                          <a:xfrm>
                            <a:off x="0" y="0"/>
                            <a:ext cx="4962525" cy="4168775"/>
                          </a:xfrm>
                          <a:prstGeom prst="rect">
                            <a:avLst/>
                          </a:prstGeom>
                          <a:noFill/>
                          <a:ln>
                            <a:noFill/>
                          </a:ln>
                        </pic:spPr>
                      </pic:pic>
                    </a:graphicData>
                  </a:graphic>
                </wp:inline>
              </w:drawing>
            </w:r>
          </w:p>
          <w:p>
            <w:pPr>
              <w:pStyle w:val="20"/>
              <w:jc w:val="center"/>
              <w:rPr>
                <w:rFonts w:ascii="Times New Roman" w:hAnsi="Times New Roman" w:cs="Times New Roman"/>
              </w:rPr>
            </w:pPr>
            <w:r>
              <w:rPr>
                <w:rFonts w:ascii="Times New Roman" w:hAnsi="Times New Roman" w:cs="Times New Roman"/>
                <w:b/>
                <w:iCs/>
                <w:sz w:val="24"/>
              </w:rPr>
              <w:t>图</w:t>
            </w:r>
            <w:r>
              <w:rPr>
                <w:rFonts w:hint="eastAsia" w:ascii="Times New Roman" w:hAnsi="Times New Roman" w:cs="Times New Roman"/>
                <w:b/>
                <w:iCs/>
                <w:sz w:val="24"/>
              </w:rPr>
              <w:t>5</w:t>
            </w:r>
            <w:r>
              <w:rPr>
                <w:rFonts w:ascii="Times New Roman" w:hAnsi="Times New Roman" w:cs="Times New Roman"/>
                <w:b/>
                <w:iCs/>
                <w:sz w:val="24"/>
              </w:rPr>
              <w:t xml:space="preserve">  环境空气质量主要污染物年平均浓度</w:t>
            </w:r>
          </w:p>
          <w:p>
            <w:pPr>
              <w:pStyle w:val="33"/>
              <w:numPr>
                <w:ilvl w:val="0"/>
                <w:numId w:val="0"/>
              </w:numPr>
              <w:spacing w:line="360" w:lineRule="auto"/>
              <w:rPr>
                <w:rFonts w:ascii="Times New Roman" w:hAnsi="Times New Roman" w:cs="Times New Roman"/>
                <w:bCs/>
              </w:rPr>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表1</w:t>
            </w:r>
            <w:r>
              <w:rPr>
                <w:rFonts w:hint="eastAsia" w:ascii="Times New Roman" w:hAnsi="Times New Roman" w:cs="Times New Roman"/>
                <w:bCs/>
                <w:sz w:val="24"/>
                <w:szCs w:val="24"/>
                <w:lang w:val="en-US" w:eastAsia="zh-CN"/>
              </w:rPr>
              <w:t>6</w:t>
            </w:r>
            <w:r>
              <w:rPr>
                <w:rFonts w:hint="eastAsia" w:ascii="Times New Roman" w:hAnsi="Times New Roman" w:cs="Times New Roman"/>
                <w:bCs/>
                <w:sz w:val="24"/>
                <w:szCs w:val="24"/>
              </w:rPr>
              <w:t xml:space="preserve">  </w:t>
            </w:r>
            <w:r>
              <w:rPr>
                <w:rFonts w:ascii="Times New Roman" w:hAnsi="Times New Roman" w:cs="Times New Roman"/>
                <w:bCs/>
                <w:sz w:val="24"/>
                <w:szCs w:val="24"/>
              </w:rPr>
              <w:t>区域空气质量现状评价表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394"/>
              <w:gridCol w:w="1242"/>
              <w:gridCol w:w="1145"/>
              <w:gridCol w:w="982"/>
              <w:gridCol w:w="10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污染物</w:t>
                  </w:r>
                </w:p>
              </w:tc>
              <w:tc>
                <w:tcPr>
                  <w:tcW w:w="1539"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年评价指标</w:t>
                  </w:r>
                </w:p>
              </w:tc>
              <w:tc>
                <w:tcPr>
                  <w:tcW w:w="799"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现状浓度</w:t>
                  </w:r>
                </w:p>
                <w:p>
                  <w:pPr>
                    <w:adjustRightInd w:val="0"/>
                    <w:snapToGrid w:val="0"/>
                    <w:jc w:val="center"/>
                    <w:rPr>
                      <w:rFonts w:ascii="Times New Roman" w:hAnsi="Times New Roman" w:cs="Times New Roman"/>
                      <w:b/>
                      <w:iCs/>
                      <w:szCs w:val="21"/>
                    </w:rPr>
                  </w:pPr>
                  <w:r>
                    <w:rPr>
                      <w:rFonts w:ascii="Times New Roman" w:hAnsi="Times New Roman" w:cs="Times New Roman"/>
                      <w:b/>
                      <w:iCs/>
                      <w:szCs w:val="21"/>
                    </w:rPr>
                    <w:t>(</w:t>
                  </w:r>
                  <w:r>
                    <w:rPr>
                      <w:rFonts w:ascii="Times New Roman" w:hAnsi="Times New Roman" w:cs="Times New Roman"/>
                      <w:b/>
                    </w:rPr>
                    <w:t>μg</w:t>
                  </w:r>
                  <w:r>
                    <w:rPr>
                      <w:rFonts w:ascii="Times New Roman" w:hAnsi="Times New Roman" w:cs="Times New Roman"/>
                      <w:b/>
                      <w:iCs/>
                      <w:szCs w:val="21"/>
                    </w:rPr>
                    <w:t>/m</w:t>
                  </w:r>
                  <w:r>
                    <w:rPr>
                      <w:rFonts w:ascii="Times New Roman" w:hAnsi="Times New Roman" w:cs="Times New Roman"/>
                      <w:b/>
                      <w:iCs/>
                      <w:szCs w:val="21"/>
                      <w:vertAlign w:val="superscript"/>
                    </w:rPr>
                    <w:t>3</w:t>
                  </w:r>
                  <w:r>
                    <w:rPr>
                      <w:rFonts w:ascii="Times New Roman" w:hAnsi="Times New Roman" w:cs="Times New Roman"/>
                      <w:b/>
                      <w:iCs/>
                      <w:szCs w:val="21"/>
                    </w:rPr>
                    <w:t>)</w:t>
                  </w:r>
                </w:p>
              </w:tc>
              <w:tc>
                <w:tcPr>
                  <w:tcW w:w="737"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标准值</w:t>
                  </w:r>
                </w:p>
                <w:p>
                  <w:pPr>
                    <w:adjustRightInd w:val="0"/>
                    <w:snapToGrid w:val="0"/>
                    <w:jc w:val="center"/>
                    <w:rPr>
                      <w:rFonts w:ascii="Times New Roman" w:hAnsi="Times New Roman" w:cs="Times New Roman"/>
                      <w:b/>
                      <w:iCs/>
                      <w:szCs w:val="21"/>
                    </w:rPr>
                  </w:pPr>
                  <w:r>
                    <w:rPr>
                      <w:rFonts w:ascii="Times New Roman" w:hAnsi="Times New Roman" w:cs="Times New Roman"/>
                      <w:b/>
                      <w:iCs/>
                      <w:szCs w:val="21"/>
                    </w:rPr>
                    <w:t>(</w:t>
                  </w:r>
                  <w:r>
                    <w:rPr>
                      <w:rFonts w:ascii="Times New Roman" w:hAnsi="Times New Roman" w:cs="Times New Roman"/>
                      <w:b/>
                    </w:rPr>
                    <w:t>μg</w:t>
                  </w:r>
                  <w:r>
                    <w:rPr>
                      <w:rFonts w:ascii="Times New Roman" w:hAnsi="Times New Roman" w:cs="Times New Roman"/>
                      <w:b/>
                      <w:iCs/>
                      <w:szCs w:val="21"/>
                    </w:rPr>
                    <w:t>/m</w:t>
                  </w:r>
                  <w:r>
                    <w:rPr>
                      <w:rFonts w:ascii="Times New Roman" w:hAnsi="Times New Roman" w:cs="Times New Roman"/>
                      <w:b/>
                      <w:iCs/>
                      <w:szCs w:val="21"/>
                      <w:vertAlign w:val="superscript"/>
                    </w:rPr>
                    <w:t>3</w:t>
                  </w:r>
                  <w:r>
                    <w:rPr>
                      <w:rFonts w:ascii="Times New Roman" w:hAnsi="Times New Roman" w:cs="Times New Roman"/>
                      <w:b/>
                      <w:iCs/>
                      <w:szCs w:val="21"/>
                    </w:rPr>
                    <w:t>)</w:t>
                  </w:r>
                </w:p>
              </w:tc>
              <w:tc>
                <w:tcPr>
                  <w:tcW w:w="632"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占标率（%）</w:t>
                  </w:r>
                </w:p>
              </w:tc>
              <w:tc>
                <w:tcPr>
                  <w:tcW w:w="687" w:type="pct"/>
                  <w:vAlign w:val="center"/>
                </w:tcPr>
                <w:p>
                  <w:pPr>
                    <w:adjustRightInd w:val="0"/>
                    <w:snapToGrid w:val="0"/>
                    <w:jc w:val="center"/>
                    <w:rPr>
                      <w:rFonts w:ascii="Times New Roman" w:hAnsi="Times New Roman" w:cs="Times New Roman"/>
                      <w:b/>
                      <w:iCs/>
                      <w:szCs w:val="21"/>
                    </w:rPr>
                  </w:pPr>
                  <w:r>
                    <w:rPr>
                      <w:rFonts w:ascii="Times New Roman" w:hAnsi="Times New Roman" w:cs="Times New Roman"/>
                      <w:b/>
                      <w:iCs/>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SO</w:t>
                  </w:r>
                  <w:r>
                    <w:rPr>
                      <w:rFonts w:ascii="Times New Roman" w:hAnsi="Times New Roman" w:cs="Times New Roman"/>
                      <w:bCs/>
                      <w:iCs/>
                      <w:szCs w:val="21"/>
                      <w:vertAlign w:val="subscript"/>
                    </w:rPr>
                    <w:t>2</w:t>
                  </w:r>
                </w:p>
              </w:tc>
              <w:tc>
                <w:tcPr>
                  <w:tcW w:w="153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年评价质量浓度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9</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60</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15</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NO</w:t>
                  </w:r>
                  <w:r>
                    <w:rPr>
                      <w:rFonts w:ascii="Times New Roman" w:hAnsi="Times New Roman" w:cs="Times New Roman"/>
                      <w:bCs/>
                      <w:iCs/>
                      <w:szCs w:val="21"/>
                      <w:vertAlign w:val="subscript"/>
                    </w:rPr>
                    <w:t>2</w:t>
                  </w:r>
                </w:p>
              </w:tc>
              <w:tc>
                <w:tcPr>
                  <w:tcW w:w="153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年评价质量浓度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14</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40</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35</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PM</w:t>
                  </w:r>
                  <w:r>
                    <w:rPr>
                      <w:rFonts w:ascii="Times New Roman" w:hAnsi="Times New Roman" w:cs="Times New Roman"/>
                      <w:bCs/>
                      <w:iCs/>
                      <w:szCs w:val="21"/>
                      <w:vertAlign w:val="subscript"/>
                    </w:rPr>
                    <w:t>10</w:t>
                  </w:r>
                </w:p>
              </w:tc>
              <w:tc>
                <w:tcPr>
                  <w:tcW w:w="153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年评价质量浓度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38</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70</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 xml:space="preserve">54.29 </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PM</w:t>
                  </w:r>
                  <w:r>
                    <w:rPr>
                      <w:rFonts w:ascii="Times New Roman" w:hAnsi="Times New Roman" w:cs="Times New Roman"/>
                      <w:bCs/>
                      <w:iCs/>
                      <w:szCs w:val="21"/>
                      <w:vertAlign w:val="subscript"/>
                    </w:rPr>
                    <w:t>2.5</w:t>
                  </w:r>
                </w:p>
              </w:tc>
              <w:tc>
                <w:tcPr>
                  <w:tcW w:w="153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年评价质量浓度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23</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35</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 xml:space="preserve">65.71 </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CO</w:t>
                  </w:r>
                </w:p>
              </w:tc>
              <w:tc>
                <w:tcPr>
                  <w:tcW w:w="1539" w:type="pct"/>
                  <w:vAlign w:val="center"/>
                </w:tcPr>
                <w:p>
                  <w:pPr>
                    <w:spacing w:line="240" w:lineRule="exact"/>
                    <w:jc w:val="center"/>
                    <w:rPr>
                      <w:rFonts w:ascii="Times New Roman" w:hAnsi="Times New Roman" w:cs="Times New Roman"/>
                      <w:bCs/>
                      <w:iCs/>
                      <w:szCs w:val="21"/>
                    </w:rPr>
                  </w:pPr>
                  <w:r>
                    <w:rPr>
                      <w:rFonts w:ascii="Times New Roman" w:hAnsi="Times New Roman" w:cs="Times New Roman"/>
                      <w:szCs w:val="21"/>
                    </w:rPr>
                    <w:t>百分位数（95%）日平均质量浓度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700</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4000</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17.5</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03"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O</w:t>
                  </w:r>
                  <w:r>
                    <w:rPr>
                      <w:rFonts w:ascii="Times New Roman" w:hAnsi="Times New Roman" w:cs="Times New Roman"/>
                      <w:bCs/>
                      <w:iCs/>
                      <w:szCs w:val="21"/>
                      <w:vertAlign w:val="subscript"/>
                    </w:rPr>
                    <w:t>3</w:t>
                  </w:r>
                </w:p>
              </w:tc>
              <w:tc>
                <w:tcPr>
                  <w:tcW w:w="1539" w:type="pct"/>
                  <w:vAlign w:val="center"/>
                </w:tcPr>
                <w:p>
                  <w:pPr>
                    <w:spacing w:line="240" w:lineRule="exact"/>
                    <w:jc w:val="center"/>
                    <w:rPr>
                      <w:rFonts w:ascii="Times New Roman" w:hAnsi="Times New Roman" w:cs="Times New Roman"/>
                      <w:bCs/>
                      <w:iCs/>
                      <w:szCs w:val="21"/>
                    </w:rPr>
                  </w:pPr>
                  <w:r>
                    <w:rPr>
                      <w:rFonts w:ascii="Times New Roman" w:hAnsi="Times New Roman" w:cs="Times New Roman"/>
                      <w:szCs w:val="21"/>
                    </w:rPr>
                    <w:t>百分位数（90%）8小时平均质量浓度</w:t>
                  </w:r>
                </w:p>
              </w:tc>
              <w:tc>
                <w:tcPr>
                  <w:tcW w:w="799"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107</w:t>
                  </w:r>
                </w:p>
              </w:tc>
              <w:tc>
                <w:tcPr>
                  <w:tcW w:w="73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160</w:t>
                  </w:r>
                </w:p>
              </w:tc>
              <w:tc>
                <w:tcPr>
                  <w:tcW w:w="632"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 xml:space="preserve">66.88 </w:t>
                  </w:r>
                </w:p>
              </w:tc>
              <w:tc>
                <w:tcPr>
                  <w:tcW w:w="687" w:type="pct"/>
                  <w:vAlign w:val="center"/>
                </w:tcPr>
                <w:p>
                  <w:pPr>
                    <w:adjustRightInd w:val="0"/>
                    <w:snapToGrid w:val="0"/>
                    <w:jc w:val="center"/>
                    <w:rPr>
                      <w:rFonts w:ascii="Times New Roman" w:hAnsi="Times New Roman" w:cs="Times New Roman"/>
                      <w:bCs/>
                      <w:iCs/>
                      <w:szCs w:val="21"/>
                    </w:rPr>
                  </w:pPr>
                  <w:r>
                    <w:rPr>
                      <w:rFonts w:ascii="Times New Roman" w:hAnsi="Times New Roman" w:cs="Times New Roman"/>
                      <w:bCs/>
                      <w:iCs/>
                      <w:szCs w:val="21"/>
                    </w:rPr>
                    <w:t>达标</w:t>
                  </w:r>
                </w:p>
              </w:tc>
            </w:tr>
          </w:tbl>
          <w:p>
            <w:pPr>
              <w:pStyle w:val="15"/>
              <w:spacing w:line="360" w:lineRule="auto"/>
              <w:ind w:left="0" w:leftChars="0" w:firstLine="480" w:firstLineChars="200"/>
              <w:rPr>
                <w:rFonts w:ascii="Times New Roman" w:hAnsi="Times New Roman" w:cs="Times New Roman"/>
                <w:iCs/>
                <w:sz w:val="24"/>
                <w:szCs w:val="22"/>
                <w:lang w:val="zh-CN"/>
              </w:rPr>
            </w:pPr>
            <w:r>
              <w:rPr>
                <w:rFonts w:ascii="Times New Roman" w:hAnsi="Times New Roman" w:cs="Times New Roman"/>
                <w:iCs/>
                <w:sz w:val="24"/>
                <w:szCs w:val="22"/>
                <w:lang w:val="zh-CN"/>
              </w:rPr>
              <w:t>根据20</w:t>
            </w:r>
            <w:r>
              <w:rPr>
                <w:rFonts w:ascii="Times New Roman" w:hAnsi="Times New Roman" w:cs="Times New Roman"/>
                <w:iCs/>
                <w:sz w:val="24"/>
                <w:szCs w:val="22"/>
              </w:rPr>
              <w:t>21</w:t>
            </w:r>
            <w:r>
              <w:rPr>
                <w:rFonts w:ascii="Times New Roman" w:hAnsi="Times New Roman" w:cs="Times New Roman"/>
                <w:iCs/>
                <w:sz w:val="24"/>
                <w:szCs w:val="22"/>
                <w:lang w:val="zh-CN"/>
              </w:rPr>
              <w:t>年环境公报，项目所在区域SO</w:t>
            </w:r>
            <w:r>
              <w:rPr>
                <w:rFonts w:ascii="Times New Roman" w:hAnsi="Times New Roman" w:cs="Times New Roman"/>
                <w:iCs/>
                <w:sz w:val="24"/>
                <w:szCs w:val="22"/>
                <w:vertAlign w:val="subscript"/>
                <w:lang w:val="zh-CN"/>
              </w:rPr>
              <w:t>2</w:t>
            </w:r>
            <w:r>
              <w:rPr>
                <w:rFonts w:ascii="Times New Roman" w:hAnsi="Times New Roman" w:cs="Times New Roman"/>
                <w:iCs/>
                <w:sz w:val="24"/>
                <w:szCs w:val="22"/>
                <w:lang w:val="zh-CN"/>
              </w:rPr>
              <w:t>、NO</w:t>
            </w:r>
            <w:r>
              <w:rPr>
                <w:rFonts w:ascii="Times New Roman" w:hAnsi="Times New Roman" w:cs="Times New Roman"/>
                <w:iCs/>
                <w:sz w:val="24"/>
                <w:szCs w:val="22"/>
                <w:vertAlign w:val="subscript"/>
                <w:lang w:val="zh-CN"/>
              </w:rPr>
              <w:t>2</w:t>
            </w:r>
            <w:r>
              <w:rPr>
                <w:rFonts w:ascii="Times New Roman" w:hAnsi="Times New Roman" w:cs="Times New Roman"/>
                <w:iCs/>
                <w:sz w:val="24"/>
                <w:szCs w:val="22"/>
                <w:lang w:val="zh-CN"/>
              </w:rPr>
              <w:t>、CO第95百分位数、O</w:t>
            </w:r>
            <w:r>
              <w:rPr>
                <w:rFonts w:ascii="Times New Roman" w:hAnsi="Times New Roman" w:cs="Times New Roman"/>
                <w:iCs/>
                <w:sz w:val="24"/>
                <w:szCs w:val="22"/>
                <w:vertAlign w:val="subscript"/>
                <w:lang w:val="zh-CN"/>
              </w:rPr>
              <w:t>3</w:t>
            </w:r>
            <w:r>
              <w:rPr>
                <w:rFonts w:ascii="Times New Roman" w:hAnsi="Times New Roman" w:cs="Times New Roman"/>
                <w:iCs/>
                <w:sz w:val="24"/>
                <w:szCs w:val="22"/>
                <w:lang w:val="zh-CN"/>
              </w:rPr>
              <w:t>第90百分位数8小时、PM</w:t>
            </w:r>
            <w:r>
              <w:rPr>
                <w:rFonts w:ascii="Times New Roman" w:hAnsi="Times New Roman" w:cs="Times New Roman"/>
                <w:iCs/>
                <w:sz w:val="24"/>
                <w:szCs w:val="22"/>
                <w:vertAlign w:val="subscript"/>
                <w:lang w:val="zh-CN"/>
              </w:rPr>
              <w:t>10</w:t>
            </w:r>
            <w:r>
              <w:rPr>
                <w:rFonts w:ascii="Times New Roman" w:hAnsi="Times New Roman" w:cs="Times New Roman"/>
                <w:iCs/>
                <w:sz w:val="24"/>
                <w:szCs w:val="22"/>
                <w:lang w:val="zh-CN"/>
              </w:rPr>
              <w:t>、PM</w:t>
            </w:r>
            <w:r>
              <w:rPr>
                <w:rFonts w:ascii="Times New Roman" w:hAnsi="Times New Roman" w:cs="Times New Roman"/>
                <w:iCs/>
                <w:sz w:val="24"/>
                <w:szCs w:val="22"/>
                <w:vertAlign w:val="subscript"/>
                <w:lang w:val="zh-CN"/>
              </w:rPr>
              <w:t>2.5</w:t>
            </w:r>
            <w:r>
              <w:rPr>
                <w:rFonts w:ascii="Times New Roman" w:hAnsi="Times New Roman" w:cs="Times New Roman"/>
                <w:sz w:val="24"/>
              </w:rPr>
              <w:t>，</w:t>
            </w:r>
            <w:r>
              <w:rPr>
                <w:rFonts w:hint="eastAsia" w:ascii="Times New Roman" w:hAnsi="Times New Roman" w:cs="Times New Roman"/>
                <w:iCs/>
                <w:sz w:val="24"/>
                <w:szCs w:val="22"/>
                <w:vertAlign w:val="subscript"/>
                <w:lang w:val="en-US" w:eastAsia="zh-CN"/>
              </w:rPr>
              <w:t xml:space="preserve"> </w:t>
            </w:r>
            <w:r>
              <w:rPr>
                <w:rFonts w:ascii="Times New Roman" w:hAnsi="Times New Roman" w:cs="Times New Roman"/>
                <w:iCs/>
                <w:sz w:val="24"/>
                <w:szCs w:val="22"/>
              </w:rPr>
              <w:t>6</w:t>
            </w:r>
            <w:r>
              <w:rPr>
                <w:rFonts w:ascii="Times New Roman" w:hAnsi="Times New Roman" w:cs="Times New Roman"/>
                <w:iCs/>
                <w:sz w:val="24"/>
                <w:szCs w:val="22"/>
                <w:lang w:val="zh-CN"/>
              </w:rPr>
              <w:t>项指标年平均浓度值均达到了《环境空气质量标准》(GB3095—2012</w:t>
            </w:r>
            <w:r>
              <w:rPr>
                <w:rFonts w:hint="eastAsia" w:ascii="Times New Roman" w:hAnsi="Times New Roman" w:cs="Times New Roman"/>
                <w:iCs/>
                <w:sz w:val="24"/>
                <w:szCs w:val="22"/>
                <w:lang w:val="zh-CN"/>
              </w:rPr>
              <w:t>)</w:t>
            </w:r>
            <w:r>
              <w:rPr>
                <w:rFonts w:ascii="Times New Roman" w:hAnsi="Times New Roman" w:cs="Times New Roman"/>
                <w:iCs/>
                <w:sz w:val="24"/>
                <w:szCs w:val="22"/>
                <w:lang w:val="zh-CN"/>
              </w:rPr>
              <w:t>二级标准要求，本项目所在评价区域为达标区。</w:t>
            </w:r>
          </w:p>
          <w:p>
            <w:pPr>
              <w:pStyle w:val="15"/>
              <w:spacing w:line="360" w:lineRule="auto"/>
              <w:ind w:left="0" w:leftChars="0" w:firstLine="482" w:firstLineChars="200"/>
              <w:rPr>
                <w:rFonts w:ascii="Times New Roman" w:hAnsi="Times New Roman" w:cs="Times New Roman"/>
                <w:b/>
                <w:bCs/>
                <w:sz w:val="24"/>
              </w:rPr>
            </w:pPr>
            <w:r>
              <w:rPr>
                <w:rFonts w:ascii="Times New Roman" w:hAnsi="Times New Roman" w:cs="Times New Roman"/>
                <w:b/>
                <w:bCs/>
                <w:sz w:val="24"/>
              </w:rPr>
              <w:t>1.1其他污染物监测</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⑴监测点布设</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共布设2个环境空气监测点，布设位置详见下表</w:t>
            </w:r>
            <w:r>
              <w:rPr>
                <w:rFonts w:hint="eastAsia" w:ascii="Times New Roman" w:hAnsi="Times New Roman" w:cs="Times New Roman"/>
                <w:sz w:val="24"/>
              </w:rPr>
              <w:t>1</w:t>
            </w:r>
            <w:r>
              <w:rPr>
                <w:rFonts w:hint="eastAsia" w:ascii="Times New Roman" w:hAnsi="Times New Roman" w:cs="Times New Roman"/>
                <w:sz w:val="24"/>
                <w:lang w:val="en-US" w:eastAsia="zh-CN"/>
              </w:rPr>
              <w:t>7</w:t>
            </w:r>
            <w:r>
              <w:rPr>
                <w:rFonts w:ascii="Times New Roman" w:hAnsi="Times New Roman" w:cs="Times New Roman"/>
                <w:sz w:val="24"/>
              </w:rPr>
              <w:t>。</w:t>
            </w:r>
          </w:p>
          <w:p>
            <w:pPr>
              <w:pStyle w:val="2"/>
              <w:spacing w:line="240" w:lineRule="exact"/>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表1</w:t>
            </w:r>
            <w:r>
              <w:rPr>
                <w:rFonts w:hint="eastAsia" w:ascii="Times New Roman" w:hAnsi="Times New Roman" w:cs="Times New Roman"/>
                <w:bCs/>
                <w:sz w:val="24"/>
                <w:szCs w:val="24"/>
                <w:lang w:val="en-US" w:eastAsia="zh-CN"/>
              </w:rPr>
              <w:t>7</w:t>
            </w:r>
            <w:r>
              <w:rPr>
                <w:rFonts w:hint="eastAsia" w:ascii="Times New Roman" w:hAnsi="Times New Roman" w:cs="Times New Roman"/>
                <w:bCs/>
                <w:sz w:val="24"/>
                <w:szCs w:val="24"/>
              </w:rPr>
              <w:t xml:space="preserve">  </w:t>
            </w:r>
            <w:r>
              <w:rPr>
                <w:rFonts w:ascii="Times New Roman" w:hAnsi="Times New Roman" w:cs="Times New Roman"/>
                <w:bCs/>
                <w:sz w:val="24"/>
                <w:szCs w:val="24"/>
              </w:rPr>
              <w:t>环境空气监测点名称及布设情况</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271"/>
              <w:gridCol w:w="2206"/>
              <w:gridCol w:w="4297"/>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10" w:hRule="atLeast"/>
                <w:jc w:val="center"/>
              </w:trPr>
              <w:tc>
                <w:tcPr>
                  <w:tcW w:w="817" w:type="pct"/>
                  <w:vAlign w:val="center"/>
                </w:tcPr>
                <w:p>
                  <w:pPr>
                    <w:autoSpaceDE w:val="0"/>
                    <w:autoSpaceDN w:val="0"/>
                    <w:adjustRightInd w:val="0"/>
                    <w:spacing w:line="276" w:lineRule="auto"/>
                    <w:jc w:val="center"/>
                    <w:rPr>
                      <w:rFonts w:ascii="Times New Roman" w:hAnsi="Times New Roman" w:cs="Times New Roman"/>
                      <w:b/>
                      <w:bCs/>
                      <w:szCs w:val="21"/>
                    </w:rPr>
                  </w:pPr>
                  <w:r>
                    <w:rPr>
                      <w:rFonts w:ascii="Times New Roman" w:hAnsi="Times New Roman" w:cs="Times New Roman"/>
                      <w:b/>
                      <w:bCs/>
                      <w:szCs w:val="21"/>
                      <w:lang w:val="zh-CN"/>
                    </w:rPr>
                    <w:t>监测点</w:t>
                  </w:r>
                  <w:r>
                    <w:rPr>
                      <w:rFonts w:ascii="Times New Roman" w:hAnsi="Times New Roman" w:cs="Times New Roman"/>
                      <w:b/>
                      <w:bCs/>
                      <w:szCs w:val="21"/>
                    </w:rPr>
                    <w:t>位</w:t>
                  </w:r>
                </w:p>
              </w:tc>
              <w:tc>
                <w:tcPr>
                  <w:tcW w:w="1419" w:type="pct"/>
                  <w:vAlign w:val="center"/>
                </w:tcPr>
                <w:p>
                  <w:pPr>
                    <w:autoSpaceDE w:val="0"/>
                    <w:autoSpaceDN w:val="0"/>
                    <w:adjustRightInd w:val="0"/>
                    <w:spacing w:line="276" w:lineRule="auto"/>
                    <w:jc w:val="center"/>
                    <w:rPr>
                      <w:rFonts w:ascii="Times New Roman" w:hAnsi="Times New Roman" w:cs="Times New Roman"/>
                      <w:b/>
                      <w:bCs/>
                      <w:szCs w:val="21"/>
                      <w:lang w:val="zh-CN"/>
                    </w:rPr>
                  </w:pPr>
                  <w:r>
                    <w:rPr>
                      <w:rFonts w:ascii="Times New Roman" w:hAnsi="Times New Roman" w:cs="Times New Roman"/>
                      <w:b/>
                      <w:bCs/>
                      <w:szCs w:val="21"/>
                      <w:lang w:val="zh-CN"/>
                    </w:rPr>
                    <w:t>测点名称</w:t>
                  </w:r>
                </w:p>
              </w:tc>
              <w:tc>
                <w:tcPr>
                  <w:tcW w:w="2763" w:type="pct"/>
                  <w:vAlign w:val="center"/>
                </w:tcPr>
                <w:p>
                  <w:pPr>
                    <w:autoSpaceDE w:val="0"/>
                    <w:autoSpaceDN w:val="0"/>
                    <w:adjustRightInd w:val="0"/>
                    <w:spacing w:line="276" w:lineRule="auto"/>
                    <w:jc w:val="center"/>
                    <w:rPr>
                      <w:rFonts w:ascii="Times New Roman" w:hAnsi="Times New Roman" w:cs="Times New Roman"/>
                      <w:b/>
                      <w:bCs/>
                      <w:szCs w:val="21"/>
                      <w:lang w:val="zh-CN"/>
                    </w:rPr>
                  </w:pPr>
                  <w:r>
                    <w:rPr>
                      <w:rFonts w:ascii="Times New Roman" w:hAnsi="Times New Roman" w:cs="Times New Roman"/>
                      <w:b/>
                      <w:bCs/>
                      <w:szCs w:val="21"/>
                      <w:lang w:val="zh-CN"/>
                    </w:rPr>
                    <w:t>说</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lang w:val="zh-CN"/>
                    </w:rPr>
                    <w:t>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10" w:hRule="atLeast"/>
                <w:jc w:val="center"/>
              </w:trPr>
              <w:tc>
                <w:tcPr>
                  <w:tcW w:w="817" w:type="pct"/>
                  <w:vAlign w:val="center"/>
                </w:tcPr>
                <w:p>
                  <w:pPr>
                    <w:autoSpaceDE w:val="0"/>
                    <w:autoSpaceDN w:val="0"/>
                    <w:adjustRightInd w:val="0"/>
                    <w:spacing w:line="276" w:lineRule="auto"/>
                    <w:jc w:val="center"/>
                    <w:rPr>
                      <w:rFonts w:ascii="Times New Roman" w:hAnsi="Times New Roman" w:cs="Times New Roman"/>
                      <w:szCs w:val="21"/>
                      <w:lang w:val="zh-CN"/>
                    </w:rPr>
                  </w:pPr>
                  <w:r>
                    <w:rPr>
                      <w:rFonts w:ascii="Times New Roman" w:hAnsi="Times New Roman" w:cs="Times New Roman"/>
                      <w:szCs w:val="21"/>
                    </w:rPr>
                    <w:t>1</w:t>
                  </w:r>
                  <w:r>
                    <w:rPr>
                      <w:rFonts w:ascii="Times New Roman" w:hAnsi="Times New Roman" w:cs="Times New Roman"/>
                      <w:szCs w:val="21"/>
                      <w:lang w:val="zh-CN"/>
                    </w:rPr>
                    <w:t>#</w:t>
                  </w:r>
                </w:p>
              </w:tc>
              <w:tc>
                <w:tcPr>
                  <w:tcW w:w="1419" w:type="pct"/>
                  <w:vAlign w:val="center"/>
                </w:tcPr>
                <w:p>
                  <w:pPr>
                    <w:jc w:val="center"/>
                    <w:rPr>
                      <w:rFonts w:ascii="Times New Roman" w:hAnsi="Times New Roman" w:cs="Times New Roman"/>
                      <w:szCs w:val="21"/>
                      <w:lang w:val="zh-CN"/>
                    </w:rPr>
                  </w:pPr>
                  <w:r>
                    <w:rPr>
                      <w:rFonts w:ascii="Times New Roman" w:hAnsi="Times New Roman" w:cs="Times New Roman"/>
                      <w:color w:val="000000"/>
                      <w:szCs w:val="21"/>
                    </w:rPr>
                    <w:t>项目所在地</w:t>
                  </w:r>
                </w:p>
              </w:tc>
              <w:tc>
                <w:tcPr>
                  <w:tcW w:w="2763" w:type="pct"/>
                  <w:vAlign w:val="center"/>
                </w:tcPr>
                <w:p>
                  <w:pPr>
                    <w:jc w:val="center"/>
                    <w:rPr>
                      <w:rFonts w:ascii="Times New Roman" w:hAnsi="Times New Roman" w:cs="Times New Roman"/>
                      <w:szCs w:val="21"/>
                    </w:rPr>
                  </w:pPr>
                  <w:r>
                    <w:rPr>
                      <w:rFonts w:ascii="Times New Roman" w:hAnsi="Times New Roman" w:cs="Times New Roman"/>
                      <w:color w:val="000000"/>
                      <w:szCs w:val="21"/>
                    </w:rPr>
                    <w:t>了解项目所在区域环境空气质量现状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10" w:hRule="atLeast"/>
                <w:jc w:val="center"/>
              </w:trPr>
              <w:tc>
                <w:tcPr>
                  <w:tcW w:w="817" w:type="pct"/>
                  <w:vAlign w:val="center"/>
                </w:tcPr>
                <w:p>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lang w:val="zh-CN"/>
                    </w:rPr>
                    <w:t>#</w:t>
                  </w:r>
                </w:p>
              </w:tc>
              <w:tc>
                <w:tcPr>
                  <w:tcW w:w="1419" w:type="pct"/>
                  <w:vAlign w:val="center"/>
                </w:tcPr>
                <w:p>
                  <w:pPr>
                    <w:jc w:val="center"/>
                    <w:rPr>
                      <w:rFonts w:ascii="Times New Roman" w:hAnsi="Times New Roman" w:cs="Times New Roman"/>
                      <w:szCs w:val="21"/>
                    </w:rPr>
                  </w:pPr>
                  <w:r>
                    <w:rPr>
                      <w:rFonts w:ascii="Times New Roman" w:hAnsi="Times New Roman" w:cs="Times New Roman"/>
                      <w:szCs w:val="21"/>
                    </w:rPr>
                    <w:t>下风向（南海街）</w:t>
                  </w:r>
                </w:p>
              </w:tc>
              <w:tc>
                <w:tcPr>
                  <w:tcW w:w="2763" w:type="pct"/>
                  <w:vAlign w:val="center"/>
                </w:tcPr>
                <w:p>
                  <w:pPr>
                    <w:jc w:val="center"/>
                    <w:rPr>
                      <w:rFonts w:ascii="Times New Roman" w:hAnsi="Times New Roman" w:cs="Times New Roman"/>
                      <w:szCs w:val="21"/>
                    </w:rPr>
                  </w:pPr>
                  <w:r>
                    <w:rPr>
                      <w:rFonts w:ascii="Times New Roman" w:hAnsi="Times New Roman" w:cs="Times New Roman"/>
                      <w:color w:val="000000"/>
                      <w:szCs w:val="21"/>
                    </w:rPr>
                    <w:t>了解项目所在区域下风向环境空气质量现状</w:t>
                  </w:r>
                </w:p>
              </w:tc>
            </w:tr>
          </w:tbl>
          <w:p>
            <w:pPr>
              <w:ind w:firstLine="482" w:firstLineChars="200"/>
              <w:rPr>
                <w:rFonts w:ascii="Times New Roman" w:hAnsi="Times New Roman" w:cs="Times New Roman"/>
                <w:b/>
                <w:bCs/>
                <w:sz w:val="24"/>
              </w:rPr>
            </w:pP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⑵监测项目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TSP</w:t>
            </w:r>
            <w:r>
              <w:rPr>
                <w:rFonts w:hint="eastAsia" w:ascii="Times New Roman" w:hAnsi="Times New Roman" w:cs="Times New Roman"/>
                <w:sz w:val="24"/>
              </w:rPr>
              <w:t>、非甲烷总烃</w:t>
            </w:r>
            <w:r>
              <w:rPr>
                <w:rFonts w:ascii="Times New Roman" w:hAnsi="Times New Roman" w:cs="Times New Roman"/>
                <w:sz w:val="24"/>
              </w:rPr>
              <w:t>。</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⑶监测时间及监测单位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监测时间：2022年</w:t>
            </w:r>
            <w:r>
              <w:rPr>
                <w:rFonts w:hint="eastAsia" w:ascii="Times New Roman" w:hAnsi="Times New Roman" w:cs="Times New Roman"/>
                <w:sz w:val="24"/>
              </w:rPr>
              <w:t>11</w:t>
            </w:r>
            <w:r>
              <w:rPr>
                <w:rFonts w:ascii="Times New Roman" w:hAnsi="Times New Roman" w:cs="Times New Roman"/>
                <w:sz w:val="24"/>
              </w:rPr>
              <w:t>月</w:t>
            </w:r>
            <w:r>
              <w:rPr>
                <w:rFonts w:hint="eastAsia" w:ascii="Times New Roman" w:hAnsi="Times New Roman" w:cs="Times New Roman"/>
                <w:sz w:val="24"/>
              </w:rPr>
              <w:t>21</w:t>
            </w:r>
            <w:r>
              <w:rPr>
                <w:rFonts w:ascii="Times New Roman" w:hAnsi="Times New Roman" w:cs="Times New Roman"/>
                <w:sz w:val="24"/>
              </w:rPr>
              <w:t>日</w:t>
            </w:r>
            <w:r>
              <w:rPr>
                <w:rFonts w:hint="eastAsia" w:ascii="Times New Roman" w:hAnsi="Times New Roman" w:cs="Times New Roman"/>
                <w:sz w:val="24"/>
              </w:rPr>
              <w:t>－11</w:t>
            </w:r>
            <w:r>
              <w:rPr>
                <w:rFonts w:ascii="Times New Roman" w:hAnsi="Times New Roman" w:cs="Times New Roman"/>
                <w:sz w:val="24"/>
              </w:rPr>
              <w:t>月</w:t>
            </w:r>
            <w:r>
              <w:rPr>
                <w:rFonts w:hint="eastAsia" w:ascii="Times New Roman" w:hAnsi="Times New Roman" w:cs="Times New Roman"/>
                <w:sz w:val="24"/>
              </w:rPr>
              <w:t>23</w:t>
            </w:r>
            <w:r>
              <w:rPr>
                <w:rFonts w:ascii="Times New Roman" w:hAnsi="Times New Roman" w:cs="Times New Roman"/>
                <w:sz w:val="24"/>
              </w:rPr>
              <w:t>日；</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监测单位：</w:t>
            </w:r>
            <w:r>
              <w:rPr>
                <w:rFonts w:hint="eastAsia" w:ascii="Times New Roman" w:hAnsi="Times New Roman" w:cs="Times New Roman"/>
                <w:sz w:val="24"/>
              </w:rPr>
              <w:t>吉林省澳蓝环境检测有限公司</w:t>
            </w:r>
            <w:r>
              <w:rPr>
                <w:rFonts w:ascii="Times New Roman" w:hAnsi="Times New Roman" w:cs="Times New Roman"/>
                <w:sz w:val="24"/>
              </w:rPr>
              <w:t>。</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⑷监测结果</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①评价方法</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评价方法采用占标率法，计算公式如下</w:t>
            </w:r>
            <w:r>
              <w:rPr>
                <w:rFonts w:hint="eastAsia" w:ascii="Times New Roman" w:hAnsi="Times New Roman" w:cs="Times New Roman"/>
                <w:sz w:val="24"/>
                <w:szCs w:val="20"/>
              </w:rPr>
              <w:t>：</w:t>
            </w:r>
          </w:p>
          <w:p>
            <w:pPr>
              <w:spacing w:line="360" w:lineRule="auto"/>
              <w:rPr>
                <w:rFonts w:ascii="Times New Roman" w:hAnsi="Times New Roman" w:cs="Times New Roman"/>
                <w:sz w:val="24"/>
                <w:szCs w:val="20"/>
              </w:rPr>
            </w:pPr>
            <w:bookmarkStart w:id="4" w:name="_Toc354478241"/>
            <w:bookmarkStart w:id="5" w:name="_Toc354734761"/>
            <w:r>
              <w:rPr>
                <w:rFonts w:ascii="Times New Roman" w:hAnsi="Times New Roman" w:cs="Times New Roman"/>
                <w:sz w:val="24"/>
                <w:szCs w:val="20"/>
              </w:rPr>
              <w:t>P</w:t>
            </w:r>
            <w:r>
              <w:rPr>
                <w:rFonts w:ascii="Times New Roman" w:hAnsi="Times New Roman" w:cs="Times New Roman"/>
                <w:sz w:val="24"/>
                <w:szCs w:val="20"/>
                <w:vertAlign w:val="subscript"/>
              </w:rPr>
              <w:t>i</w:t>
            </w:r>
            <w:r>
              <w:rPr>
                <w:rFonts w:ascii="Times New Roman" w:hAnsi="Times New Roman" w:cs="Times New Roman"/>
                <w:sz w:val="24"/>
                <w:szCs w:val="20"/>
              </w:rPr>
              <w:t>＝C</w:t>
            </w:r>
            <w:r>
              <w:rPr>
                <w:rFonts w:ascii="Times New Roman" w:hAnsi="Times New Roman" w:cs="Times New Roman"/>
                <w:sz w:val="24"/>
                <w:szCs w:val="20"/>
                <w:vertAlign w:val="subscript"/>
              </w:rPr>
              <w:t>i</w:t>
            </w:r>
            <w:r>
              <w:rPr>
                <w:rFonts w:ascii="Times New Roman" w:hAnsi="Times New Roman" w:cs="Times New Roman"/>
                <w:sz w:val="24"/>
                <w:szCs w:val="20"/>
              </w:rPr>
              <w:t>/C</w:t>
            </w:r>
            <w:r>
              <w:rPr>
                <w:rFonts w:ascii="Times New Roman" w:hAnsi="Times New Roman" w:cs="Times New Roman"/>
                <w:sz w:val="24"/>
                <w:szCs w:val="20"/>
                <w:vertAlign w:val="subscript"/>
              </w:rPr>
              <w:t>oi</w:t>
            </w:r>
            <w:bookmarkEnd w:id="4"/>
            <w:bookmarkEnd w:id="5"/>
            <w:r>
              <w:rPr>
                <w:rFonts w:ascii="Times New Roman" w:hAnsi="Times New Roman" w:cs="Times New Roman"/>
                <w:sz w:val="24"/>
                <w:szCs w:val="20"/>
              </w:rPr>
              <w:t>×100%</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式中</w:t>
            </w:r>
            <w:r>
              <w:rPr>
                <w:rFonts w:hint="eastAsia" w:ascii="Times New Roman" w:hAnsi="Times New Roman" w:cs="Times New Roman"/>
                <w:sz w:val="24"/>
                <w:szCs w:val="20"/>
              </w:rPr>
              <w:t>：</w:t>
            </w:r>
            <w:r>
              <w:rPr>
                <w:rFonts w:ascii="Times New Roman" w:hAnsi="Times New Roman" w:cs="Times New Roman"/>
                <w:sz w:val="24"/>
                <w:szCs w:val="20"/>
              </w:rPr>
              <w:t>P</w:t>
            </w:r>
            <w:r>
              <w:rPr>
                <w:rFonts w:ascii="Times New Roman" w:hAnsi="Times New Roman" w:cs="Times New Roman"/>
                <w:sz w:val="24"/>
                <w:szCs w:val="20"/>
                <w:vertAlign w:val="subscript"/>
              </w:rPr>
              <w:t>i</w:t>
            </w:r>
            <w:r>
              <w:rPr>
                <w:rFonts w:ascii="Times New Roman" w:hAnsi="Times New Roman" w:cs="Times New Roman"/>
                <w:sz w:val="24"/>
                <w:szCs w:val="20"/>
              </w:rPr>
              <w:t>—第i 种污染物占标率（%）；</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 xml:space="preserve">      C</w:t>
            </w:r>
            <w:r>
              <w:rPr>
                <w:rFonts w:ascii="Times New Roman" w:hAnsi="Times New Roman" w:cs="Times New Roman"/>
                <w:sz w:val="24"/>
                <w:szCs w:val="20"/>
                <w:vertAlign w:val="subscript"/>
              </w:rPr>
              <w:t>i</w:t>
            </w:r>
            <w:r>
              <w:rPr>
                <w:rFonts w:ascii="Times New Roman" w:hAnsi="Times New Roman" w:cs="Times New Roman"/>
                <w:sz w:val="24"/>
                <w:szCs w:val="20"/>
              </w:rPr>
              <w:t>—第i 种污染物的实测最大浓度，μg/m</w:t>
            </w:r>
            <w:r>
              <w:rPr>
                <w:rFonts w:ascii="Times New Roman" w:hAnsi="Times New Roman" w:cs="Times New Roman"/>
                <w:sz w:val="24"/>
                <w:szCs w:val="20"/>
                <w:vertAlign w:val="superscript"/>
              </w:rPr>
              <w:t>3</w:t>
            </w:r>
            <w:r>
              <w:rPr>
                <w:rFonts w:ascii="Times New Roman" w:hAnsi="Times New Roman" w:cs="Times New Roman"/>
                <w:sz w:val="24"/>
                <w:szCs w:val="20"/>
              </w:rPr>
              <w:t>；</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 xml:space="preserve">      C</w:t>
            </w:r>
            <w:r>
              <w:rPr>
                <w:rFonts w:ascii="Times New Roman" w:hAnsi="Times New Roman" w:cs="Times New Roman"/>
                <w:sz w:val="24"/>
                <w:szCs w:val="20"/>
                <w:vertAlign w:val="subscript"/>
              </w:rPr>
              <w:t>oi</w:t>
            </w:r>
            <w:r>
              <w:rPr>
                <w:rFonts w:ascii="Times New Roman" w:hAnsi="Times New Roman" w:cs="Times New Roman"/>
                <w:sz w:val="24"/>
                <w:szCs w:val="20"/>
              </w:rPr>
              <w:t>—第i 种污染物环境质量标准，μg/m</w:t>
            </w:r>
            <w:r>
              <w:rPr>
                <w:rFonts w:ascii="Times New Roman" w:hAnsi="Times New Roman" w:cs="Times New Roman"/>
                <w:sz w:val="24"/>
                <w:szCs w:val="20"/>
                <w:vertAlign w:val="superscript"/>
              </w:rPr>
              <w:t>3</w:t>
            </w:r>
            <w:r>
              <w:rPr>
                <w:rFonts w:ascii="Times New Roman" w:hAnsi="Times New Roman" w:cs="Times New Roman"/>
                <w:sz w:val="24"/>
                <w:szCs w:val="20"/>
              </w:rPr>
              <w:t>。</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占标率若≥100%，表明该项指标超过了相应的环境空气质量标准，不能满足使用功能要求，反之，则不满足。</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②评价结果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环境空气评价结果详见下表。</w:t>
            </w:r>
          </w:p>
          <w:p>
            <w:pPr>
              <w:pStyle w:val="20"/>
              <w:rPr>
                <w:rFonts w:ascii="Times New Roman" w:hAnsi="Times New Roman" w:cs="Times New Roman"/>
                <w:sz w:val="24"/>
              </w:rPr>
            </w:pPr>
          </w:p>
          <w:p>
            <w:pPr>
              <w:rPr>
                <w:rFonts w:ascii="Times New Roman" w:hAnsi="Times New Roman" w:cs="Times New Roman"/>
                <w:sz w:val="24"/>
              </w:rPr>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w:t>
            </w:r>
            <w:r>
              <w:rPr>
                <w:rFonts w:hint="eastAsia" w:ascii="Times New Roman" w:hAnsi="Times New Roman" w:cs="Times New Roman"/>
                <w:bCs/>
                <w:sz w:val="24"/>
                <w:szCs w:val="24"/>
                <w:lang w:val="en-US" w:eastAsia="zh-CN"/>
              </w:rPr>
              <w:t>18</w:t>
            </w:r>
            <w:r>
              <w:rPr>
                <w:rFonts w:hint="eastAsia" w:ascii="Times New Roman" w:hAnsi="Times New Roman" w:cs="Times New Roman"/>
                <w:bCs/>
                <w:sz w:val="24"/>
                <w:szCs w:val="24"/>
              </w:rPr>
              <w:t xml:space="preserve">  </w:t>
            </w:r>
            <w:r>
              <w:rPr>
                <w:rFonts w:ascii="Times New Roman" w:hAnsi="Times New Roman" w:cs="Times New Roman"/>
                <w:bCs/>
                <w:sz w:val="24"/>
                <w:szCs w:val="24"/>
              </w:rPr>
              <w:t>环境空气监测结果统计及评价结果（日均值）</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66"/>
              <w:gridCol w:w="1688"/>
              <w:gridCol w:w="1410"/>
              <w:gridCol w:w="1328"/>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1" w:hRule="atLeast"/>
              </w:trPr>
              <w:tc>
                <w:tcPr>
                  <w:tcW w:w="682" w:type="dxa"/>
                  <w:noWrap/>
                  <w:vAlign w:val="center"/>
                </w:tcPr>
                <w:p>
                  <w:pPr>
                    <w:jc w:val="center"/>
                    <w:rPr>
                      <w:rFonts w:ascii="Times New Roman" w:hAnsi="Times New Roman" w:cs="Times New Roman"/>
                      <w:b/>
                      <w:bCs/>
                      <w:szCs w:val="21"/>
                    </w:rPr>
                  </w:pPr>
                  <w:r>
                    <w:rPr>
                      <w:rFonts w:ascii="Times New Roman" w:hAnsi="Times New Roman" w:cs="Times New Roman"/>
                      <w:b/>
                      <w:bCs/>
                      <w:szCs w:val="21"/>
                      <w:lang w:val="zh-CN"/>
                    </w:rPr>
                    <w:t>序号</w:t>
                  </w:r>
                </w:p>
              </w:tc>
              <w:tc>
                <w:tcPr>
                  <w:tcW w:w="1466" w:type="dxa"/>
                  <w:noWrap/>
                  <w:vAlign w:val="center"/>
                </w:tcPr>
                <w:p>
                  <w:pPr>
                    <w:jc w:val="center"/>
                    <w:rPr>
                      <w:rFonts w:ascii="Times New Roman" w:hAnsi="Times New Roman" w:cs="Times New Roman"/>
                      <w:b/>
                      <w:bCs/>
                      <w:szCs w:val="21"/>
                    </w:rPr>
                  </w:pPr>
                  <w:r>
                    <w:rPr>
                      <w:rFonts w:ascii="Times New Roman" w:hAnsi="Times New Roman" w:cs="Times New Roman"/>
                      <w:b/>
                      <w:bCs/>
                      <w:szCs w:val="21"/>
                    </w:rPr>
                    <w:t>监测项目</w:t>
                  </w:r>
                </w:p>
              </w:tc>
              <w:tc>
                <w:tcPr>
                  <w:tcW w:w="1688" w:type="dxa"/>
                  <w:noWrap/>
                  <w:vAlign w:val="center"/>
                </w:tcPr>
                <w:p>
                  <w:pPr>
                    <w:jc w:val="center"/>
                    <w:rPr>
                      <w:rFonts w:ascii="Times New Roman" w:hAnsi="Times New Roman" w:cs="Times New Roman"/>
                      <w:b/>
                      <w:bCs/>
                      <w:szCs w:val="21"/>
                    </w:rPr>
                  </w:pPr>
                  <w:r>
                    <w:rPr>
                      <w:rFonts w:ascii="Times New Roman" w:hAnsi="Times New Roman" w:cs="Times New Roman"/>
                      <w:b/>
                      <w:bCs/>
                      <w:szCs w:val="21"/>
                    </w:rPr>
                    <w:t>浓度范围</w:t>
                  </w:r>
                </w:p>
                <w:p>
                  <w:pPr>
                    <w:jc w:val="center"/>
                    <w:rPr>
                      <w:rFonts w:ascii="Times New Roman" w:hAnsi="Times New Roman" w:cs="Times New Roman"/>
                      <w:b/>
                      <w:bCs/>
                      <w:szCs w:val="21"/>
                    </w:rPr>
                  </w:pPr>
                  <w:r>
                    <w:rPr>
                      <w:rFonts w:ascii="Times New Roman" w:hAnsi="Times New Roman" w:cs="Times New Roman"/>
                      <w:b/>
                      <w:bCs/>
                      <w:szCs w:val="21"/>
                      <w:lang w:val="en-GB"/>
                    </w:rPr>
                    <w:t>（</w:t>
                  </w:r>
                  <w:r>
                    <w:rPr>
                      <w:rFonts w:ascii="Times New Roman" w:hAnsi="Times New Roman" w:cs="Times New Roman"/>
                      <w:b/>
                      <w:bCs/>
                      <w:szCs w:val="21"/>
                    </w:rPr>
                    <w:t>mg/m</w:t>
                  </w:r>
                  <w:r>
                    <w:rPr>
                      <w:rFonts w:ascii="Times New Roman" w:hAnsi="Times New Roman" w:cs="Times New Roman"/>
                      <w:b/>
                      <w:bCs/>
                      <w:szCs w:val="21"/>
                      <w:vertAlign w:val="superscript"/>
                    </w:rPr>
                    <w:t>3</w:t>
                  </w:r>
                  <w:r>
                    <w:rPr>
                      <w:rFonts w:ascii="Times New Roman" w:hAnsi="Times New Roman" w:cs="Times New Roman"/>
                      <w:b/>
                      <w:bCs/>
                      <w:szCs w:val="21"/>
                      <w:lang w:val="en-GB"/>
                    </w:rPr>
                    <w:t>）</w:t>
                  </w:r>
                </w:p>
              </w:tc>
              <w:tc>
                <w:tcPr>
                  <w:tcW w:w="1410" w:type="dxa"/>
                  <w:noWrap/>
                  <w:vAlign w:val="center"/>
                </w:tcPr>
                <w:p>
                  <w:pPr>
                    <w:jc w:val="center"/>
                    <w:rPr>
                      <w:rFonts w:ascii="Times New Roman" w:hAnsi="Times New Roman" w:cs="Times New Roman"/>
                      <w:b/>
                      <w:bCs/>
                      <w:szCs w:val="21"/>
                    </w:rPr>
                  </w:pPr>
                  <w:r>
                    <w:rPr>
                      <w:rFonts w:ascii="Times New Roman" w:hAnsi="Times New Roman" w:cs="Times New Roman"/>
                      <w:b/>
                      <w:bCs/>
                      <w:szCs w:val="21"/>
                    </w:rPr>
                    <w:t>占标率（%）</w:t>
                  </w:r>
                </w:p>
              </w:tc>
              <w:tc>
                <w:tcPr>
                  <w:tcW w:w="1328" w:type="dxa"/>
                  <w:noWrap/>
                  <w:vAlign w:val="center"/>
                </w:tcPr>
                <w:p>
                  <w:pPr>
                    <w:jc w:val="center"/>
                    <w:rPr>
                      <w:rFonts w:ascii="Times New Roman" w:hAnsi="Times New Roman" w:cs="Times New Roman"/>
                      <w:b/>
                      <w:bCs/>
                      <w:szCs w:val="21"/>
                    </w:rPr>
                  </w:pPr>
                  <w:r>
                    <w:rPr>
                      <w:rFonts w:ascii="Times New Roman" w:hAnsi="Times New Roman" w:cs="Times New Roman"/>
                      <w:b/>
                      <w:bCs/>
                      <w:szCs w:val="21"/>
                    </w:rPr>
                    <w:t>最大浓度</w:t>
                  </w:r>
                </w:p>
                <w:p>
                  <w:pPr>
                    <w:jc w:val="center"/>
                    <w:rPr>
                      <w:rFonts w:ascii="Times New Roman" w:hAnsi="Times New Roman" w:cs="Times New Roman"/>
                      <w:b/>
                      <w:bCs/>
                      <w:szCs w:val="21"/>
                    </w:rPr>
                  </w:pPr>
                  <w:r>
                    <w:rPr>
                      <w:rFonts w:ascii="Times New Roman" w:hAnsi="Times New Roman" w:cs="Times New Roman"/>
                      <w:b/>
                      <w:bCs/>
                      <w:szCs w:val="21"/>
                    </w:rPr>
                    <w:t>占标率（%）</w:t>
                  </w:r>
                </w:p>
              </w:tc>
              <w:tc>
                <w:tcPr>
                  <w:tcW w:w="1256" w:type="dxa"/>
                  <w:noWrap/>
                  <w:vAlign w:val="center"/>
                </w:tcPr>
                <w:p>
                  <w:pPr>
                    <w:jc w:val="center"/>
                    <w:rPr>
                      <w:rFonts w:ascii="Times New Roman" w:hAnsi="Times New Roman" w:cs="Times New Roman"/>
                      <w:b/>
                      <w:bCs/>
                      <w:szCs w:val="21"/>
                    </w:rPr>
                  </w:pPr>
                  <w:r>
                    <w:rPr>
                      <w:rFonts w:ascii="Times New Roman" w:hAnsi="Times New Roman" w:cs="Times New Roman"/>
                      <w:b/>
                      <w:bCs/>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restart"/>
                  <w:noWrap/>
                  <w:vAlign w:val="center"/>
                </w:tcPr>
                <w:p>
                  <w:pPr>
                    <w:jc w:val="center"/>
                    <w:rPr>
                      <w:rFonts w:ascii="Times New Roman" w:hAnsi="Times New Roman" w:cs="Times New Roman"/>
                      <w:szCs w:val="21"/>
                    </w:rPr>
                  </w:pPr>
                  <w:r>
                    <w:rPr>
                      <w:rFonts w:ascii="Times New Roman" w:hAnsi="Times New Roman" w:cs="Times New Roman"/>
                      <w:szCs w:val="21"/>
                    </w:rPr>
                    <w:t>1</w:t>
                  </w:r>
                </w:p>
              </w:tc>
              <w:tc>
                <w:tcPr>
                  <w:tcW w:w="1466" w:type="dxa"/>
                  <w:noWrap/>
                  <w:vAlign w:val="center"/>
                </w:tcPr>
                <w:p>
                  <w:pPr>
                    <w:jc w:val="center"/>
                    <w:rPr>
                      <w:rFonts w:ascii="Times New Roman" w:hAnsi="Times New Roman" w:cs="Times New Roman"/>
                      <w:bCs/>
                    </w:rPr>
                  </w:pPr>
                  <w:r>
                    <w:rPr>
                      <w:rFonts w:ascii="Times New Roman" w:hAnsi="Times New Roman" w:cs="Times New Roman"/>
                      <w:bCs/>
                    </w:rPr>
                    <w:t>TSP</w:t>
                  </w:r>
                </w:p>
              </w:tc>
              <w:tc>
                <w:tcPr>
                  <w:tcW w:w="1688" w:type="dxa"/>
                  <w:noWrap/>
                  <w:vAlign w:val="center"/>
                </w:tcPr>
                <w:p>
                  <w:pPr>
                    <w:jc w:val="center"/>
                    <w:rPr>
                      <w:rFonts w:ascii="Times New Roman" w:hAnsi="Times New Roman" w:cs="Times New Roman"/>
                      <w:bCs/>
                    </w:rPr>
                  </w:pPr>
                  <w:r>
                    <w:rPr>
                      <w:rFonts w:ascii="Times New Roman" w:hAnsi="Times New Roman" w:cs="Times New Roman"/>
                      <w:bCs/>
                    </w:rPr>
                    <w:t>0.104-0.112</w:t>
                  </w:r>
                </w:p>
              </w:tc>
              <w:tc>
                <w:tcPr>
                  <w:tcW w:w="1410" w:type="dxa"/>
                  <w:noWrap/>
                  <w:vAlign w:val="center"/>
                </w:tcPr>
                <w:p>
                  <w:pPr>
                    <w:jc w:val="center"/>
                    <w:rPr>
                      <w:rFonts w:ascii="Times New Roman" w:hAnsi="Times New Roman" w:cs="Times New Roman"/>
                      <w:bCs/>
                    </w:rPr>
                  </w:pPr>
                  <w:r>
                    <w:rPr>
                      <w:rFonts w:ascii="Times New Roman" w:hAnsi="Times New Roman" w:cs="Times New Roman"/>
                      <w:bCs/>
                    </w:rPr>
                    <w:t>34.67-37.33</w:t>
                  </w:r>
                </w:p>
              </w:tc>
              <w:tc>
                <w:tcPr>
                  <w:tcW w:w="1328" w:type="dxa"/>
                  <w:noWrap/>
                  <w:vAlign w:val="center"/>
                </w:tcPr>
                <w:p>
                  <w:pPr>
                    <w:jc w:val="center"/>
                    <w:rPr>
                      <w:rFonts w:ascii="Times New Roman" w:hAnsi="Times New Roman" w:cs="Times New Roman"/>
                      <w:bCs/>
                    </w:rPr>
                  </w:pPr>
                  <w:r>
                    <w:rPr>
                      <w:rFonts w:ascii="Times New Roman" w:hAnsi="Times New Roman" w:cs="Times New Roman"/>
                      <w:bCs/>
                    </w:rPr>
                    <w:t>37.33</w:t>
                  </w:r>
                </w:p>
              </w:tc>
              <w:tc>
                <w:tcPr>
                  <w:tcW w:w="1256" w:type="dxa"/>
                  <w:noWrap/>
                  <w:vAlign w:val="center"/>
                </w:tcPr>
                <w:p>
                  <w:pPr>
                    <w:jc w:val="center"/>
                    <w:rPr>
                      <w:rFonts w:ascii="Times New Roman" w:hAnsi="Times New Roman" w:cs="Times New Roman"/>
                      <w:bCs/>
                    </w:rPr>
                  </w:pPr>
                  <w:r>
                    <w:rPr>
                      <w:rFonts w:ascii="Times New Roman" w:hAnsi="Times New Roman" w:cs="Times New Roman"/>
                      <w:bCs/>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1" w:hRule="atLeast"/>
              </w:trPr>
              <w:tc>
                <w:tcPr>
                  <w:tcW w:w="682" w:type="dxa"/>
                  <w:vMerge w:val="continue"/>
                  <w:noWrap/>
                  <w:vAlign w:val="center"/>
                </w:tcPr>
                <w:p>
                  <w:pPr>
                    <w:jc w:val="center"/>
                    <w:rPr>
                      <w:rFonts w:ascii="Times New Roman" w:hAnsi="Times New Roman" w:cs="Times New Roman"/>
                      <w:szCs w:val="21"/>
                    </w:rPr>
                  </w:pPr>
                </w:p>
              </w:tc>
              <w:tc>
                <w:tcPr>
                  <w:tcW w:w="1466" w:type="dxa"/>
                  <w:noWrap/>
                  <w:vAlign w:val="center"/>
                </w:tcPr>
                <w:p>
                  <w:pPr>
                    <w:jc w:val="center"/>
                    <w:rPr>
                      <w:rFonts w:ascii="Times New Roman" w:hAnsi="Times New Roman" w:cs="Times New Roman"/>
                      <w:snapToGrid w:val="0"/>
                      <w:szCs w:val="21"/>
                    </w:rPr>
                  </w:pPr>
                  <w:r>
                    <w:rPr>
                      <w:rFonts w:ascii="Times New Roman" w:hAnsi="Times New Roman" w:cs="Times New Roman"/>
                      <w:snapToGrid w:val="0"/>
                      <w:szCs w:val="21"/>
                    </w:rPr>
                    <w:t>非甲烷总烃</w:t>
                  </w:r>
                </w:p>
              </w:tc>
              <w:tc>
                <w:tcPr>
                  <w:tcW w:w="1688" w:type="dxa"/>
                  <w:noWrap/>
                  <w:vAlign w:val="center"/>
                </w:tcPr>
                <w:p>
                  <w:pPr>
                    <w:jc w:val="center"/>
                    <w:rPr>
                      <w:rFonts w:ascii="Times New Roman" w:hAnsi="Times New Roman" w:cs="Times New Roman"/>
                      <w:szCs w:val="21"/>
                    </w:rPr>
                  </w:pPr>
                  <w:r>
                    <w:rPr>
                      <w:rFonts w:ascii="Times New Roman" w:hAnsi="Times New Roman" w:cs="Times New Roman"/>
                      <w:szCs w:val="21"/>
                    </w:rPr>
                    <w:t>1.33-1.44</w:t>
                  </w:r>
                </w:p>
              </w:tc>
              <w:tc>
                <w:tcPr>
                  <w:tcW w:w="1410" w:type="dxa"/>
                  <w:noWrap/>
                  <w:vAlign w:val="center"/>
                </w:tcPr>
                <w:p>
                  <w:pPr>
                    <w:jc w:val="center"/>
                    <w:rPr>
                      <w:rFonts w:ascii="Times New Roman" w:hAnsi="Times New Roman" w:cs="Times New Roman"/>
                      <w:szCs w:val="21"/>
                    </w:rPr>
                  </w:pPr>
                  <w:r>
                    <w:rPr>
                      <w:rFonts w:ascii="Times New Roman" w:hAnsi="Times New Roman" w:cs="Times New Roman"/>
                      <w:szCs w:val="21"/>
                    </w:rPr>
                    <w:t>66.5-72</w:t>
                  </w:r>
                </w:p>
              </w:tc>
              <w:tc>
                <w:tcPr>
                  <w:tcW w:w="1328" w:type="dxa"/>
                  <w:noWrap/>
                  <w:vAlign w:val="center"/>
                </w:tcPr>
                <w:p>
                  <w:pPr>
                    <w:jc w:val="center"/>
                    <w:rPr>
                      <w:rFonts w:ascii="Times New Roman" w:hAnsi="Times New Roman" w:cs="Times New Roman"/>
                      <w:szCs w:val="21"/>
                    </w:rPr>
                  </w:pPr>
                  <w:r>
                    <w:rPr>
                      <w:rFonts w:ascii="Times New Roman" w:hAnsi="Times New Roman" w:cs="Times New Roman"/>
                      <w:szCs w:val="21"/>
                    </w:rPr>
                    <w:t>72</w:t>
                  </w:r>
                </w:p>
              </w:tc>
              <w:tc>
                <w:tcPr>
                  <w:tcW w:w="1256" w:type="dxa"/>
                  <w:noWrap/>
                  <w:vAlign w:val="center"/>
                </w:tcPr>
                <w:p>
                  <w:pPr>
                    <w:jc w:val="center"/>
                    <w:rPr>
                      <w:rFonts w:ascii="Times New Roman" w:hAnsi="Times New Roman" w:cs="Times New Roman"/>
                      <w:szCs w:val="21"/>
                    </w:rPr>
                  </w:pPr>
                  <w:r>
                    <w:rPr>
                      <w:rFonts w:ascii="Times New Roman" w:hAnsi="Times New Roman" w:cs="Times New Roman"/>
                      <w:bCs/>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682" w:type="dxa"/>
                  <w:vMerge w:val="restart"/>
                  <w:noWrap/>
                  <w:vAlign w:val="center"/>
                </w:tcPr>
                <w:p>
                  <w:pPr>
                    <w:jc w:val="center"/>
                    <w:rPr>
                      <w:rFonts w:ascii="Times New Roman" w:hAnsi="Times New Roman" w:cs="Times New Roman"/>
                      <w:szCs w:val="21"/>
                    </w:rPr>
                  </w:pPr>
                  <w:r>
                    <w:rPr>
                      <w:rFonts w:ascii="Times New Roman" w:hAnsi="Times New Roman" w:cs="Times New Roman"/>
                      <w:szCs w:val="21"/>
                    </w:rPr>
                    <w:t>2</w:t>
                  </w:r>
                </w:p>
              </w:tc>
              <w:tc>
                <w:tcPr>
                  <w:tcW w:w="1466" w:type="dxa"/>
                  <w:noWrap/>
                  <w:vAlign w:val="center"/>
                </w:tcPr>
                <w:p>
                  <w:pPr>
                    <w:jc w:val="center"/>
                    <w:rPr>
                      <w:rFonts w:ascii="Times New Roman" w:hAnsi="Times New Roman" w:cs="Times New Roman"/>
                      <w:bCs/>
                    </w:rPr>
                  </w:pPr>
                  <w:r>
                    <w:rPr>
                      <w:rFonts w:ascii="Times New Roman" w:hAnsi="Times New Roman" w:cs="Times New Roman"/>
                      <w:bCs/>
                    </w:rPr>
                    <w:t>TSP</w:t>
                  </w:r>
                </w:p>
              </w:tc>
              <w:tc>
                <w:tcPr>
                  <w:tcW w:w="1688" w:type="dxa"/>
                  <w:noWrap/>
                  <w:vAlign w:val="center"/>
                </w:tcPr>
                <w:p>
                  <w:pPr>
                    <w:jc w:val="center"/>
                    <w:rPr>
                      <w:rFonts w:ascii="Times New Roman" w:hAnsi="Times New Roman" w:cs="Times New Roman"/>
                      <w:bCs/>
                    </w:rPr>
                  </w:pPr>
                  <w:r>
                    <w:rPr>
                      <w:rFonts w:ascii="Times New Roman" w:hAnsi="Times New Roman" w:cs="Times New Roman"/>
                      <w:bCs/>
                    </w:rPr>
                    <w:t>0.086-0.099</w:t>
                  </w:r>
                </w:p>
              </w:tc>
              <w:tc>
                <w:tcPr>
                  <w:tcW w:w="1410" w:type="dxa"/>
                  <w:noWrap/>
                  <w:vAlign w:val="center"/>
                </w:tcPr>
                <w:p>
                  <w:pPr>
                    <w:jc w:val="center"/>
                    <w:rPr>
                      <w:rFonts w:ascii="Times New Roman" w:hAnsi="Times New Roman" w:cs="Times New Roman"/>
                      <w:bCs/>
                    </w:rPr>
                  </w:pPr>
                  <w:r>
                    <w:rPr>
                      <w:rFonts w:ascii="Times New Roman" w:hAnsi="Times New Roman" w:cs="Times New Roman"/>
                      <w:bCs/>
                    </w:rPr>
                    <w:t>28.67-33</w:t>
                  </w:r>
                </w:p>
              </w:tc>
              <w:tc>
                <w:tcPr>
                  <w:tcW w:w="1328" w:type="dxa"/>
                  <w:noWrap/>
                  <w:vAlign w:val="center"/>
                </w:tcPr>
                <w:p>
                  <w:pPr>
                    <w:jc w:val="center"/>
                    <w:rPr>
                      <w:rFonts w:ascii="Times New Roman" w:hAnsi="Times New Roman" w:cs="Times New Roman"/>
                      <w:bCs/>
                    </w:rPr>
                  </w:pPr>
                  <w:r>
                    <w:rPr>
                      <w:rFonts w:ascii="Times New Roman" w:hAnsi="Times New Roman" w:cs="Times New Roman"/>
                      <w:bCs/>
                    </w:rPr>
                    <w:t>33</w:t>
                  </w:r>
                </w:p>
              </w:tc>
              <w:tc>
                <w:tcPr>
                  <w:tcW w:w="1256" w:type="dxa"/>
                  <w:noWrap/>
                  <w:vAlign w:val="center"/>
                </w:tcPr>
                <w:p>
                  <w:pPr>
                    <w:jc w:val="center"/>
                    <w:rPr>
                      <w:rFonts w:ascii="Times New Roman" w:hAnsi="Times New Roman" w:cs="Times New Roman"/>
                      <w:bCs/>
                    </w:rPr>
                  </w:pPr>
                  <w:r>
                    <w:rPr>
                      <w:rFonts w:ascii="Times New Roman" w:hAnsi="Times New Roman" w:cs="Times New Roman"/>
                      <w:bCs/>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4" w:hRule="atLeast"/>
              </w:trPr>
              <w:tc>
                <w:tcPr>
                  <w:tcW w:w="682" w:type="dxa"/>
                  <w:vMerge w:val="continue"/>
                  <w:noWrap/>
                  <w:vAlign w:val="center"/>
                </w:tcPr>
                <w:p>
                  <w:pPr>
                    <w:jc w:val="center"/>
                    <w:rPr>
                      <w:rFonts w:ascii="Times New Roman" w:hAnsi="Times New Roman" w:cs="Times New Roman"/>
                      <w:szCs w:val="21"/>
                    </w:rPr>
                  </w:pPr>
                </w:p>
              </w:tc>
              <w:tc>
                <w:tcPr>
                  <w:tcW w:w="1466" w:type="dxa"/>
                  <w:noWrap/>
                  <w:vAlign w:val="center"/>
                </w:tcPr>
                <w:p>
                  <w:pPr>
                    <w:jc w:val="center"/>
                    <w:rPr>
                      <w:rFonts w:ascii="Times New Roman" w:hAnsi="Times New Roman" w:cs="Times New Roman"/>
                      <w:snapToGrid w:val="0"/>
                      <w:szCs w:val="21"/>
                    </w:rPr>
                  </w:pPr>
                  <w:r>
                    <w:rPr>
                      <w:rFonts w:ascii="Times New Roman" w:hAnsi="Times New Roman" w:cs="Times New Roman"/>
                      <w:snapToGrid w:val="0"/>
                      <w:szCs w:val="21"/>
                    </w:rPr>
                    <w:t>非甲烷总烃</w:t>
                  </w:r>
                </w:p>
              </w:tc>
              <w:tc>
                <w:tcPr>
                  <w:tcW w:w="1688" w:type="dxa"/>
                  <w:noWrap/>
                  <w:vAlign w:val="center"/>
                </w:tcPr>
                <w:p>
                  <w:pPr>
                    <w:jc w:val="center"/>
                    <w:rPr>
                      <w:rFonts w:ascii="Times New Roman" w:hAnsi="Times New Roman" w:cs="Times New Roman"/>
                      <w:szCs w:val="21"/>
                    </w:rPr>
                  </w:pPr>
                  <w:r>
                    <w:rPr>
                      <w:rFonts w:ascii="Times New Roman" w:hAnsi="Times New Roman" w:cs="Times New Roman"/>
                      <w:szCs w:val="21"/>
                    </w:rPr>
                    <w:t>1.10-1.25</w:t>
                  </w:r>
                </w:p>
              </w:tc>
              <w:tc>
                <w:tcPr>
                  <w:tcW w:w="1410" w:type="dxa"/>
                  <w:noWrap/>
                  <w:vAlign w:val="center"/>
                </w:tcPr>
                <w:p>
                  <w:pPr>
                    <w:jc w:val="center"/>
                    <w:rPr>
                      <w:rFonts w:ascii="Times New Roman" w:hAnsi="Times New Roman" w:cs="Times New Roman"/>
                      <w:szCs w:val="21"/>
                    </w:rPr>
                  </w:pPr>
                  <w:r>
                    <w:rPr>
                      <w:rFonts w:ascii="Times New Roman" w:hAnsi="Times New Roman" w:cs="Times New Roman"/>
                      <w:szCs w:val="21"/>
                    </w:rPr>
                    <w:t>55-62.5</w:t>
                  </w:r>
                </w:p>
              </w:tc>
              <w:tc>
                <w:tcPr>
                  <w:tcW w:w="1328" w:type="dxa"/>
                  <w:noWrap/>
                  <w:vAlign w:val="center"/>
                </w:tcPr>
                <w:p>
                  <w:pPr>
                    <w:jc w:val="center"/>
                    <w:rPr>
                      <w:rFonts w:ascii="Times New Roman" w:hAnsi="Times New Roman" w:cs="Times New Roman"/>
                      <w:szCs w:val="21"/>
                    </w:rPr>
                  </w:pPr>
                  <w:r>
                    <w:rPr>
                      <w:rFonts w:ascii="Times New Roman" w:hAnsi="Times New Roman" w:cs="Times New Roman"/>
                      <w:szCs w:val="21"/>
                    </w:rPr>
                    <w:t>62.5</w:t>
                  </w:r>
                </w:p>
              </w:tc>
              <w:tc>
                <w:tcPr>
                  <w:tcW w:w="1256" w:type="dxa"/>
                  <w:noWrap/>
                  <w:vAlign w:val="center"/>
                </w:tcPr>
                <w:p>
                  <w:pPr>
                    <w:jc w:val="center"/>
                    <w:rPr>
                      <w:rFonts w:ascii="Times New Roman" w:hAnsi="Times New Roman" w:cs="Times New Roman"/>
                      <w:szCs w:val="21"/>
                    </w:rPr>
                  </w:pPr>
                  <w:r>
                    <w:rPr>
                      <w:rFonts w:ascii="Times New Roman" w:hAnsi="Times New Roman" w:cs="Times New Roman"/>
                      <w:bCs/>
                    </w:rPr>
                    <w:t>达标</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b/>
                <w:bCs/>
                <w:szCs w:val="21"/>
              </w:rPr>
            </w:pPr>
          </w:p>
          <w:p>
            <w:pPr>
              <w:rPr>
                <w:rFonts w:ascii="Times New Roman" w:hAnsi="Times New Roman" w:cs="Times New Roman"/>
                <w:sz w:val="24"/>
              </w:rPr>
            </w:pPr>
            <w:r>
              <w:rPr>
                <w:rFonts w:ascii="Times New Roman" w:hAnsi="Times New Roman" w:cs="Times New Roman"/>
                <w:b/>
                <w:bCs/>
                <w:szCs w:val="21"/>
              </w:rPr>
              <w:t>注：“L”为低于检出限</w:t>
            </w:r>
          </w:p>
          <w:p>
            <w:pPr>
              <w:pStyle w:val="15"/>
              <w:spacing w:line="360" w:lineRule="auto"/>
              <w:ind w:left="0" w:leftChars="0" w:firstLine="480" w:firstLineChars="200"/>
              <w:rPr>
                <w:rFonts w:ascii="Times New Roman" w:hAnsi="Times New Roman" w:cs="Times New Roman"/>
                <w:sz w:val="24"/>
              </w:rPr>
            </w:pPr>
            <w:r>
              <w:rPr>
                <w:rFonts w:ascii="Times New Roman" w:hAnsi="Times New Roman" w:cs="Times New Roman"/>
                <w:sz w:val="24"/>
              </w:rPr>
              <w:t>由上表看出，各监测因子占标率均小于100%，TSP满足《环境空气质量标准》（GB3095-2012）中二级标准要求，非甲烷总烃满足《大气污染物综合排放标准详解》中标准要求。</w:t>
            </w:r>
          </w:p>
          <w:p>
            <w:pPr>
              <w:widowControl/>
              <w:spacing w:line="360" w:lineRule="auto"/>
              <w:ind w:firstLine="482" w:firstLineChars="200"/>
              <w:jc w:val="left"/>
              <w:rPr>
                <w:rFonts w:ascii="宋体" w:hAnsi="宋体" w:eastAsia="宋体" w:cs="宋体"/>
                <w:b/>
                <w:bCs/>
                <w:color w:val="000000"/>
                <w:kern w:val="0"/>
                <w:sz w:val="24"/>
              </w:rPr>
            </w:pPr>
            <w:r>
              <w:rPr>
                <w:rFonts w:ascii="Times New Roman" w:hAnsi="Times New Roman" w:cs="Times New Roman"/>
                <w:b/>
                <w:bCs/>
                <w:sz w:val="24"/>
              </w:rPr>
              <w:t>2、</w:t>
            </w:r>
            <w:r>
              <w:rPr>
                <w:rFonts w:ascii="Times New Roman" w:hAnsi="Times New Roman" w:cs="Times New Roman"/>
                <w:b/>
                <w:bCs/>
                <w:sz w:val="24"/>
                <w:lang w:val="zh-CN"/>
              </w:rPr>
              <w:t>地表水环境</w:t>
            </w:r>
            <w:r>
              <w:rPr>
                <w:rFonts w:hint="eastAsia" w:ascii="宋体" w:hAnsi="宋体" w:eastAsia="宋体" w:cs="宋体"/>
                <w:b/>
                <w:bCs/>
                <w:color w:val="000000"/>
                <w:kern w:val="0"/>
                <w:sz w:val="24"/>
              </w:rPr>
              <w:t>环境质量现状</w:t>
            </w:r>
          </w:p>
          <w:p>
            <w:pPr>
              <w:widowControl/>
              <w:spacing w:line="360" w:lineRule="auto"/>
              <w:ind w:firstLine="480" w:firstLineChars="200"/>
              <w:jc w:val="left"/>
              <w:rPr>
                <w:lang w:val="zh-CN"/>
              </w:rPr>
            </w:pPr>
            <w:r>
              <w:rPr>
                <w:rFonts w:hint="eastAsia" w:ascii="宋体" w:hAnsi="宋体" w:eastAsia="宋体" w:cs="宋体"/>
                <w:color w:val="000000"/>
                <w:kern w:val="0"/>
                <w:sz w:val="24"/>
              </w:rPr>
              <w:t>本项目所在区域主要地表水体为洮儿河和那金河，根据吉林省生态环境厅发布的重点流域月报（</w:t>
            </w:r>
            <w:r>
              <w:rPr>
                <w:rFonts w:ascii="Times New Roman" w:hAnsi="Times New Roman" w:eastAsia="宋体" w:cs="Times New Roman"/>
                <w:color w:val="000000"/>
                <w:kern w:val="0"/>
                <w:sz w:val="24"/>
              </w:rPr>
              <w:t>2021</w:t>
            </w:r>
            <w:r>
              <w:rPr>
                <w:rFonts w:hint="eastAsia" w:ascii="宋体" w:hAnsi="宋体" w:eastAsia="宋体" w:cs="宋体"/>
                <w:color w:val="000000"/>
                <w:kern w:val="0"/>
                <w:sz w:val="24"/>
              </w:rPr>
              <w:t>年</w:t>
            </w:r>
            <w:r>
              <w:rPr>
                <w:rFonts w:ascii="Times New Roman" w:hAnsi="Times New Roman" w:eastAsia="宋体" w:cs="Times New Roman"/>
                <w:color w:val="000000"/>
                <w:kern w:val="0"/>
                <w:sz w:val="24"/>
              </w:rPr>
              <w:t>10</w:t>
            </w:r>
            <w:r>
              <w:rPr>
                <w:rFonts w:hint="eastAsia" w:ascii="宋体" w:hAnsi="宋体" w:eastAsia="宋体" w:cs="宋体"/>
                <w:color w:val="000000"/>
                <w:kern w:val="0"/>
                <w:sz w:val="24"/>
              </w:rPr>
              <w:t>月）分析区域地表水体水质情况，具体见下表。</w:t>
            </w:r>
          </w:p>
          <w:p>
            <w:pPr>
              <w:widowControl/>
              <w:spacing w:line="360" w:lineRule="auto"/>
              <w:jc w:val="center"/>
              <w:rPr>
                <w:rFonts w:ascii="Times New Roman" w:hAnsi="Times New Roman" w:eastAsia="宋体" w:cs="Times New Roman"/>
                <w:b/>
                <w:bCs/>
                <w:sz w:val="24"/>
              </w:rPr>
            </w:pPr>
            <w:r>
              <w:rPr>
                <w:rFonts w:hint="eastAsia" w:ascii="宋体" w:hAnsi="宋体" w:eastAsia="宋体" w:cs="宋体"/>
                <w:b/>
                <w:bCs/>
                <w:color w:val="000000"/>
                <w:kern w:val="0"/>
                <w:sz w:val="24"/>
              </w:rPr>
              <w:t>表</w:t>
            </w:r>
            <w:r>
              <w:rPr>
                <w:rFonts w:hint="eastAsia" w:ascii="宋体" w:hAnsi="宋体" w:eastAsia="宋体" w:cs="宋体"/>
                <w:b/>
                <w:bCs/>
                <w:color w:val="000000"/>
                <w:kern w:val="0"/>
                <w:sz w:val="24"/>
                <w:lang w:val="en-US" w:eastAsia="zh-CN"/>
              </w:rPr>
              <w:t xml:space="preserve">19  </w:t>
            </w:r>
            <w:r>
              <w:rPr>
                <w:rFonts w:hint="eastAsia" w:ascii="宋体" w:hAnsi="宋体" w:eastAsia="宋体" w:cs="宋体"/>
                <w:b/>
                <w:bCs/>
                <w:color w:val="000000"/>
                <w:kern w:val="0"/>
                <w:sz w:val="24"/>
              </w:rPr>
              <w:t>白城市国控断面水质月报（</w:t>
            </w:r>
            <w:r>
              <w:rPr>
                <w:rFonts w:ascii="Times New Roman" w:hAnsi="Times New Roman" w:eastAsia="宋体" w:cs="Times New Roman"/>
                <w:b/>
                <w:bCs/>
                <w:color w:val="000000"/>
                <w:kern w:val="0"/>
                <w:sz w:val="24"/>
              </w:rPr>
              <w:t xml:space="preserve">2021 </w:t>
            </w:r>
            <w:r>
              <w:rPr>
                <w:rFonts w:hint="eastAsia" w:ascii="宋体" w:hAnsi="宋体" w:eastAsia="宋体" w:cs="宋体"/>
                <w:b/>
                <w:bCs/>
                <w:color w:val="000000"/>
                <w:kern w:val="0"/>
                <w:sz w:val="24"/>
              </w:rPr>
              <w:t xml:space="preserve">年 </w:t>
            </w:r>
            <w:r>
              <w:rPr>
                <w:rFonts w:ascii="Times New Roman" w:hAnsi="Times New Roman" w:eastAsia="宋体" w:cs="Times New Roman"/>
                <w:b/>
                <w:bCs/>
                <w:color w:val="000000"/>
                <w:kern w:val="0"/>
                <w:sz w:val="24"/>
              </w:rPr>
              <w:t xml:space="preserve">10 </w:t>
            </w:r>
            <w:r>
              <w:rPr>
                <w:rFonts w:hint="eastAsia" w:ascii="宋体" w:hAnsi="宋体" w:eastAsia="宋体" w:cs="宋体"/>
                <w:b/>
                <w:bCs/>
                <w:color w:val="000000"/>
                <w:kern w:val="0"/>
                <w:sz w:val="24"/>
              </w:rPr>
              <w:t>月）</w:t>
            </w:r>
          </w:p>
          <w:p>
            <w:pPr>
              <w:widowControl/>
              <w:jc w:val="left"/>
            </w:pPr>
            <w:r>
              <w:rPr>
                <w:rFonts w:ascii="宋体" w:hAnsi="宋体" w:eastAsia="宋体" w:cs="宋体"/>
                <w:kern w:val="0"/>
                <w:sz w:val="24"/>
              </w:rPr>
              <w:drawing>
                <wp:inline distT="0" distB="0" distL="114300" distR="114300">
                  <wp:extent cx="4890135" cy="1837055"/>
                  <wp:effectExtent l="0" t="0" r="12065" b="4445"/>
                  <wp:docPr id="17"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6"/>
                          <pic:cNvPicPr>
                            <a:picLocks noChangeAspect="1"/>
                          </pic:cNvPicPr>
                        </pic:nvPicPr>
                        <pic:blipFill>
                          <a:blip r:embed="rId13"/>
                          <a:stretch>
                            <a:fillRect/>
                          </a:stretch>
                        </pic:blipFill>
                        <pic:spPr>
                          <a:xfrm>
                            <a:off x="0" y="0"/>
                            <a:ext cx="4890135" cy="1837055"/>
                          </a:xfrm>
                          <a:prstGeom prst="rect">
                            <a:avLst/>
                          </a:prstGeom>
                          <a:noFill/>
                          <a:ln w="9525">
                            <a:noFill/>
                          </a:ln>
                        </pic:spPr>
                      </pic:pic>
                    </a:graphicData>
                  </a:graphic>
                </wp:inline>
              </w:drawing>
            </w:r>
          </w:p>
          <w:p>
            <w:pPr>
              <w:spacing w:line="360" w:lineRule="auto"/>
              <w:ind w:firstLine="480" w:firstLineChars="200"/>
            </w:pPr>
            <w:r>
              <w:rPr>
                <w:rFonts w:hint="eastAsia" w:ascii="宋体" w:hAnsi="宋体" w:eastAsia="宋体" w:cs="宋体"/>
                <w:color w:val="000000"/>
                <w:kern w:val="0"/>
                <w:sz w:val="24"/>
              </w:rPr>
              <w:t>由上表可知，白城市三个断面水质均达到《地表水环境质量》</w:t>
            </w:r>
            <w:r>
              <w:rPr>
                <w:rFonts w:ascii="Times New Roman" w:hAnsi="Times New Roman" w:eastAsia="宋体" w:cs="Times New Roman"/>
                <w:color w:val="000000"/>
                <w:kern w:val="0"/>
                <w:sz w:val="24"/>
              </w:rPr>
              <w:t>GB3838-2002</w:t>
            </w:r>
            <w:r>
              <w:rPr>
                <w:rFonts w:hint="eastAsia" w:ascii="宋体" w:hAnsi="宋体" w:eastAsia="宋体" w:cs="宋体"/>
                <w:color w:val="000000"/>
                <w:kern w:val="0"/>
                <w:sz w:val="24"/>
              </w:rPr>
              <w:t>中相应的标准。</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3</w:t>
            </w:r>
            <w:r>
              <w:rPr>
                <w:rFonts w:ascii="Times New Roman" w:hAnsi="Times New Roman" w:eastAsia="宋体" w:cs="Times New Roman"/>
                <w:b/>
                <w:bCs/>
                <w:sz w:val="24"/>
              </w:rPr>
              <w:t>、地下水</w:t>
            </w:r>
            <w:r>
              <w:rPr>
                <w:b/>
                <w:kern w:val="0"/>
                <w:sz w:val="24"/>
              </w:rPr>
              <w:t>质量现状监测与评价</w:t>
            </w:r>
          </w:p>
          <w:p>
            <w:pPr>
              <w:adjustRightInd w:val="0"/>
              <w:snapToGrid w:val="0"/>
              <w:spacing w:line="360" w:lineRule="auto"/>
              <w:ind w:firstLine="482" w:firstLineChars="200"/>
              <w:rPr>
                <w:rFonts w:ascii="Times New Roman" w:hAnsi="Times New Roman" w:eastAsia="宋体" w:cs="Times New Roman"/>
                <w:b/>
                <w:color w:val="000000"/>
                <w:sz w:val="24"/>
              </w:rPr>
            </w:pPr>
            <w:r>
              <w:rPr>
                <w:rFonts w:ascii="Times New Roman" w:hAnsi="Times New Roman" w:eastAsia="宋体" w:cs="Times New Roman"/>
                <w:b/>
                <w:color w:val="000000"/>
                <w:sz w:val="24"/>
              </w:rPr>
              <w:t>（1）监测点位布设</w:t>
            </w:r>
          </w:p>
          <w:p>
            <w:pPr>
              <w:adjustRightInd w:val="0"/>
              <w:snapToGrid w:val="0"/>
              <w:spacing w:line="360" w:lineRule="auto"/>
              <w:ind w:firstLine="480" w:firstLineChars="200"/>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为了解项目区域地下水水质现状，本次共布设</w:t>
            </w:r>
            <w:r>
              <w:rPr>
                <w:rFonts w:hint="eastAsia" w:ascii="Times New Roman" w:hAnsi="Times New Roman" w:eastAsia="宋体" w:cs="Times New Roman"/>
                <w:color w:val="000000"/>
                <w:sz w:val="24"/>
                <w:szCs w:val="20"/>
              </w:rPr>
              <w:t>1</w:t>
            </w:r>
            <w:r>
              <w:rPr>
                <w:rFonts w:ascii="Times New Roman" w:hAnsi="Times New Roman" w:eastAsia="宋体" w:cs="Times New Roman"/>
                <w:color w:val="000000"/>
                <w:sz w:val="24"/>
                <w:szCs w:val="20"/>
              </w:rPr>
              <w:t>个监测点位，监测点位具体布设情况详见下表。</w:t>
            </w:r>
          </w:p>
          <w:p>
            <w:pPr>
              <w:pStyle w:val="33"/>
              <w:numPr>
                <w:ilvl w:val="0"/>
                <w:numId w:val="0"/>
              </w:numPr>
              <w:spacing w:line="360" w:lineRule="auto"/>
              <w:rPr>
                <w:rFonts w:ascii="Times New Roman" w:hAnsi="Times New Roman" w:cs="Times New Roman"/>
                <w:bCs/>
              </w:rPr>
            </w:pPr>
          </w:p>
          <w:p>
            <w:pPr>
              <w:pStyle w:val="33"/>
              <w:numPr>
                <w:ilvl w:val="0"/>
                <w:numId w:val="0"/>
              </w:numPr>
              <w:spacing w:line="360" w:lineRule="auto"/>
              <w:rPr>
                <w:rFonts w:ascii="Times New Roman" w:hAnsi="Times New Roman" w:cs="Times New Roman"/>
                <w:bCs/>
              </w:rPr>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表2</w:t>
            </w:r>
            <w:r>
              <w:rPr>
                <w:rFonts w:hint="eastAsia" w:ascii="Times New Roman" w:hAnsi="Times New Roman" w:cs="Times New Roman"/>
                <w:bCs/>
                <w:sz w:val="24"/>
                <w:szCs w:val="24"/>
                <w:lang w:val="en-US" w:eastAsia="zh-CN"/>
              </w:rPr>
              <w:t>0</w:t>
            </w:r>
            <w:r>
              <w:rPr>
                <w:rFonts w:hint="eastAsia" w:ascii="Times New Roman" w:hAnsi="Times New Roman" w:cs="Times New Roman"/>
                <w:bCs/>
                <w:sz w:val="24"/>
                <w:szCs w:val="24"/>
              </w:rPr>
              <w:t xml:space="preserve">  </w:t>
            </w:r>
            <w:r>
              <w:rPr>
                <w:rFonts w:ascii="Times New Roman" w:hAnsi="Times New Roman" w:cs="Times New Roman"/>
                <w:bCs/>
                <w:sz w:val="24"/>
                <w:szCs w:val="24"/>
              </w:rPr>
              <w:t>本项目地下水环境监测内容一览表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28"/>
              <w:gridCol w:w="1377"/>
              <w:gridCol w:w="1476"/>
              <w:gridCol w:w="25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8" w:hRule="atLeast"/>
                <w:jc w:val="center"/>
              </w:trPr>
              <w:tc>
                <w:tcPr>
                  <w:tcW w:w="519" w:type="pct"/>
                  <w:noWrap/>
                  <w:vAlign w:val="center"/>
                </w:tcPr>
                <w:p>
                  <w:pPr>
                    <w:jc w:val="center"/>
                    <w:rPr>
                      <w:rFonts w:ascii="Times New Roman" w:hAnsi="Times New Roman" w:eastAsia="宋体" w:cs="Times New Roman"/>
                      <w:b/>
                      <w:bCs/>
                      <w:iCs/>
                      <w:szCs w:val="21"/>
                    </w:rPr>
                  </w:pPr>
                  <w:r>
                    <w:rPr>
                      <w:rFonts w:ascii="Times New Roman" w:hAnsi="Times New Roman" w:eastAsia="宋体" w:cs="Times New Roman"/>
                      <w:b/>
                      <w:bCs/>
                      <w:iCs/>
                      <w:szCs w:val="21"/>
                    </w:rPr>
                    <w:t>序号</w:t>
                  </w:r>
                </w:p>
              </w:tc>
              <w:tc>
                <w:tcPr>
                  <w:tcW w:w="983" w:type="pct"/>
                  <w:noWrap/>
                  <w:vAlign w:val="center"/>
                </w:tcPr>
                <w:p>
                  <w:pPr>
                    <w:jc w:val="center"/>
                    <w:rPr>
                      <w:rFonts w:ascii="Times New Roman" w:hAnsi="Times New Roman" w:eastAsia="宋体" w:cs="Times New Roman"/>
                      <w:b/>
                      <w:bCs/>
                      <w:iCs/>
                      <w:szCs w:val="21"/>
                    </w:rPr>
                  </w:pPr>
                  <w:r>
                    <w:rPr>
                      <w:rFonts w:ascii="Times New Roman" w:hAnsi="Times New Roman" w:eastAsia="宋体" w:cs="Times New Roman"/>
                      <w:b/>
                      <w:bCs/>
                      <w:iCs/>
                      <w:szCs w:val="21"/>
                    </w:rPr>
                    <w:t>监测点名称</w:t>
                  </w:r>
                </w:p>
              </w:tc>
              <w:tc>
                <w:tcPr>
                  <w:tcW w:w="886" w:type="pct"/>
                  <w:noWrap/>
                  <w:vAlign w:val="center"/>
                </w:tcPr>
                <w:p>
                  <w:pPr>
                    <w:jc w:val="center"/>
                    <w:rPr>
                      <w:rFonts w:ascii="Times New Roman" w:hAnsi="Times New Roman" w:eastAsia="宋体" w:cs="Times New Roman"/>
                      <w:b/>
                      <w:bCs/>
                      <w:iCs/>
                      <w:szCs w:val="21"/>
                    </w:rPr>
                  </w:pPr>
                  <w:r>
                    <w:rPr>
                      <w:rFonts w:ascii="Times New Roman" w:hAnsi="Times New Roman" w:eastAsia="宋体" w:cs="Times New Roman"/>
                      <w:b/>
                      <w:bCs/>
                      <w:iCs/>
                      <w:szCs w:val="21"/>
                    </w:rPr>
                    <w:t>位置关系</w:t>
                  </w:r>
                </w:p>
              </w:tc>
              <w:tc>
                <w:tcPr>
                  <w:tcW w:w="950" w:type="pct"/>
                  <w:noWrap/>
                  <w:vAlign w:val="center"/>
                </w:tcPr>
                <w:p>
                  <w:pPr>
                    <w:widowControl/>
                    <w:spacing w:line="300" w:lineRule="auto"/>
                    <w:jc w:val="center"/>
                    <w:textAlignment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井深（m）</w:t>
                  </w:r>
                </w:p>
              </w:tc>
              <w:tc>
                <w:tcPr>
                  <w:tcW w:w="1660" w:type="pct"/>
                  <w:noWrap/>
                  <w:vAlign w:val="center"/>
                </w:tcPr>
                <w:p>
                  <w:pPr>
                    <w:jc w:val="center"/>
                    <w:rPr>
                      <w:rFonts w:ascii="Times New Roman" w:hAnsi="Times New Roman" w:eastAsia="宋体" w:cs="Times New Roman"/>
                      <w:b/>
                      <w:bCs/>
                      <w:iCs/>
                      <w:szCs w:val="21"/>
                    </w:rPr>
                  </w:pPr>
                  <w:r>
                    <w:rPr>
                      <w:rFonts w:ascii="Times New Roman" w:hAnsi="Times New Roman" w:eastAsia="宋体" w:cs="Times New Roman"/>
                      <w:b/>
                      <w:bCs/>
                      <w:iCs/>
                      <w:szCs w:val="21"/>
                    </w:rPr>
                    <w:t>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519" w:type="pct"/>
                  <w:noWrap/>
                  <w:vAlign w:val="center"/>
                </w:tcPr>
                <w:p>
                  <w:pPr>
                    <w:jc w:val="center"/>
                    <w:rPr>
                      <w:rFonts w:ascii="Times New Roman" w:hAnsi="Times New Roman" w:eastAsia="宋体" w:cs="Times New Roman"/>
                      <w:iCs/>
                      <w:szCs w:val="21"/>
                    </w:rPr>
                  </w:pPr>
                  <w:r>
                    <w:rPr>
                      <w:rFonts w:ascii="Times New Roman" w:hAnsi="Times New Roman" w:eastAsia="宋体" w:cs="Times New Roman"/>
                      <w:iCs/>
                      <w:szCs w:val="21"/>
                    </w:rPr>
                    <w:t>1#</w:t>
                  </w:r>
                </w:p>
              </w:tc>
              <w:tc>
                <w:tcPr>
                  <w:tcW w:w="983" w:type="pct"/>
                  <w:noWrap/>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szCs w:val="21"/>
                    </w:rPr>
                    <w:t>厂区内水井</w:t>
                  </w:r>
                </w:p>
              </w:tc>
              <w:tc>
                <w:tcPr>
                  <w:tcW w:w="886" w:type="pct"/>
                  <w:noWrap/>
                  <w:vAlign w:val="center"/>
                </w:tcPr>
                <w:p>
                  <w:pPr>
                    <w:jc w:val="center"/>
                    <w:rPr>
                      <w:rFonts w:ascii="Times New Roman" w:hAnsi="Times New Roman" w:eastAsia="宋体" w:cs="Times New Roman"/>
                      <w:iCs/>
                      <w:szCs w:val="21"/>
                    </w:rPr>
                  </w:pPr>
                  <w:r>
                    <w:rPr>
                      <w:rFonts w:ascii="Times New Roman" w:hAnsi="Times New Roman" w:eastAsia="宋体" w:cs="Times New Roman"/>
                    </w:rPr>
                    <w:t>项目所在</w:t>
                  </w:r>
                  <w:r>
                    <w:rPr>
                      <w:rFonts w:hint="eastAsia" w:ascii="Times New Roman" w:hAnsi="Times New Roman" w:eastAsia="宋体" w:cs="Times New Roman"/>
                    </w:rPr>
                    <w:t>地</w:t>
                  </w:r>
                </w:p>
              </w:tc>
              <w:tc>
                <w:tcPr>
                  <w:tcW w:w="950" w:type="pct"/>
                  <w:noWrap/>
                  <w:vAlign w:val="center"/>
                </w:tcPr>
                <w:p>
                  <w:pPr>
                    <w:widowControl/>
                    <w:spacing w:line="300" w:lineRule="auto"/>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1660" w:type="pct"/>
                  <w:noWrap/>
                  <w:vAlign w:val="center"/>
                </w:tcPr>
                <w:p>
                  <w:pPr>
                    <w:jc w:val="center"/>
                    <w:rPr>
                      <w:rFonts w:ascii="Times New Roman" w:hAnsi="Times New Roman" w:eastAsia="宋体" w:cs="Times New Roman"/>
                      <w:iCs/>
                      <w:szCs w:val="21"/>
                    </w:rPr>
                  </w:pPr>
                  <w:r>
                    <w:rPr>
                      <w:rFonts w:ascii="Times New Roman" w:hAnsi="Times New Roman" w:eastAsia="宋体" w:cs="Times New Roman"/>
                      <w:iCs/>
                      <w:szCs w:val="21"/>
                    </w:rPr>
                    <w:t>了解项目所在地</w:t>
                  </w:r>
                </w:p>
                <w:p>
                  <w:pPr>
                    <w:jc w:val="center"/>
                    <w:rPr>
                      <w:rFonts w:ascii="Times New Roman" w:hAnsi="Times New Roman" w:eastAsia="宋体" w:cs="Times New Roman"/>
                      <w:iCs/>
                      <w:szCs w:val="21"/>
                    </w:rPr>
                  </w:pPr>
                  <w:r>
                    <w:rPr>
                      <w:rFonts w:ascii="Times New Roman" w:hAnsi="Times New Roman" w:eastAsia="宋体" w:cs="Times New Roman"/>
                      <w:iCs/>
                      <w:szCs w:val="21"/>
                    </w:rPr>
                    <w:t>地下水质量状况</w:t>
                  </w:r>
                </w:p>
              </w:tc>
            </w:tr>
          </w:tbl>
          <w:p>
            <w:pPr>
              <w:adjustRightInd w:val="0"/>
              <w:snapToGrid w:val="0"/>
              <w:spacing w:line="240" w:lineRule="auto"/>
              <w:ind w:firstLine="482" w:firstLineChars="200"/>
              <w:rPr>
                <w:rFonts w:ascii="Times New Roman" w:hAnsi="Times New Roman" w:eastAsia="宋体" w:cs="Times New Roman"/>
                <w:b/>
                <w:color w:val="000000"/>
                <w:sz w:val="24"/>
              </w:rPr>
            </w:pPr>
          </w:p>
          <w:p>
            <w:pPr>
              <w:adjustRightInd w:val="0"/>
              <w:snapToGrid w:val="0"/>
              <w:spacing w:line="360" w:lineRule="auto"/>
              <w:ind w:firstLine="482" w:firstLineChars="200"/>
              <w:rPr>
                <w:rFonts w:ascii="Times New Roman" w:hAnsi="Times New Roman" w:eastAsia="宋体" w:cs="Times New Roman"/>
                <w:b/>
                <w:color w:val="000000"/>
                <w:sz w:val="24"/>
              </w:rPr>
            </w:pPr>
            <w:r>
              <w:rPr>
                <w:rFonts w:ascii="Times New Roman" w:hAnsi="Times New Roman" w:eastAsia="宋体" w:cs="Times New Roman"/>
                <w:b/>
                <w:color w:val="000000"/>
                <w:sz w:val="24"/>
              </w:rPr>
              <w:t>（2）监测项目</w:t>
            </w: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根据污染特征及拟建项目废水排放情况，选择监测项目：pH、氨氮、溶解性总固体、总硬度、硝酸盐、亚硝酸盐、细菌总数、石油类共计8项。</w:t>
            </w:r>
          </w:p>
          <w:p>
            <w:pPr>
              <w:pStyle w:val="98"/>
              <w:adjustRightInd w:val="0"/>
              <w:snapToGrid w:val="0"/>
              <w:spacing w:line="360" w:lineRule="auto"/>
              <w:ind w:firstLine="482" w:firstLineChars="200"/>
              <w:rPr>
                <w:rFonts w:ascii="Times New Roman" w:hAnsi="Times New Roman"/>
                <w:b/>
                <w:bCs/>
                <w:sz w:val="24"/>
                <w:szCs w:val="24"/>
              </w:rPr>
            </w:pPr>
            <w:r>
              <w:rPr>
                <w:rFonts w:ascii="Times New Roman" w:hAnsi="Times New Roman"/>
                <w:b/>
                <w:bCs/>
                <w:sz w:val="24"/>
              </w:rPr>
              <w:t>（3）</w:t>
            </w:r>
            <w:r>
              <w:rPr>
                <w:rFonts w:ascii="Times New Roman" w:hAnsi="Times New Roman"/>
                <w:b/>
                <w:bCs/>
                <w:sz w:val="24"/>
                <w:szCs w:val="24"/>
              </w:rPr>
              <w:t>监测单位及时间</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sz w:val="24"/>
              </w:rPr>
              <w:t>监测单位：</w:t>
            </w:r>
            <w:r>
              <w:rPr>
                <w:rFonts w:ascii="Times New Roman" w:hAnsi="Times New Roman" w:eastAsia="宋体" w:cs="Times New Roman"/>
                <w:sz w:val="24"/>
              </w:rPr>
              <w:t>吉林省港湾检测有限责任公司；</w:t>
            </w: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监测时间：</w:t>
            </w:r>
            <w:r>
              <w:rPr>
                <w:rFonts w:ascii="Times New Roman" w:hAnsi="Times New Roman" w:eastAsia="宋体" w:cs="Times New Roman"/>
                <w:color w:val="000000"/>
                <w:sz w:val="24"/>
              </w:rPr>
              <w:t>2022年</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月</w:t>
            </w:r>
            <w:r>
              <w:rPr>
                <w:rFonts w:hint="eastAsia" w:ascii="Times New Roman" w:hAnsi="Times New Roman" w:eastAsia="宋体" w:cs="Times New Roman"/>
                <w:color w:val="000000"/>
                <w:sz w:val="24"/>
              </w:rPr>
              <w:t>23</w:t>
            </w:r>
            <w:r>
              <w:rPr>
                <w:rFonts w:ascii="Times New Roman" w:hAnsi="Times New Roman" w:eastAsia="宋体" w:cs="Times New Roman"/>
                <w:color w:val="000000"/>
                <w:sz w:val="24"/>
              </w:rPr>
              <w:t>日。</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（4）地下水环境现状评价</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①评价标准</w:t>
            </w:r>
          </w:p>
          <w:p>
            <w:pPr>
              <w:adjustRightInd w:val="0"/>
              <w:snapToGrid w:val="0"/>
              <w:spacing w:line="360" w:lineRule="auto"/>
              <w:ind w:firstLine="480" w:firstLineChars="200"/>
              <w:rPr>
                <w:rFonts w:ascii="Times New Roman" w:hAnsi="Times New Roman" w:eastAsia="宋体" w:cs="Times New Roman"/>
                <w:bCs/>
                <w:color w:val="000000"/>
                <w:sz w:val="24"/>
                <w:highlight w:val="yellow"/>
              </w:rPr>
            </w:pPr>
            <w:r>
              <w:rPr>
                <w:rFonts w:ascii="Times New Roman" w:hAnsi="Times New Roman" w:eastAsia="宋体" w:cs="Times New Roman"/>
                <w:color w:val="000000"/>
                <w:sz w:val="24"/>
              </w:rPr>
              <w:t>本项目地下水环境现状评价标准采用《地下水质量标准》（GB/T 14848-2017）中Ⅲ类水质标准。</w:t>
            </w:r>
          </w:p>
          <w:p>
            <w:pPr>
              <w:adjustRightInd w:val="0"/>
              <w:snapToGrid w:val="0"/>
              <w:spacing w:line="360" w:lineRule="auto"/>
              <w:ind w:firstLine="482" w:firstLineChars="200"/>
              <w:rPr>
                <w:rFonts w:ascii="Times New Roman" w:hAnsi="Times New Roman" w:eastAsia="宋体" w:cs="Times New Roman"/>
                <w:b/>
                <w:color w:val="000000"/>
                <w:sz w:val="24"/>
              </w:rPr>
            </w:pPr>
            <w:r>
              <w:rPr>
                <w:rFonts w:ascii="Times New Roman" w:hAnsi="Times New Roman" w:eastAsia="宋体" w:cs="Times New Roman"/>
                <w:b/>
                <w:color w:val="000000"/>
                <w:sz w:val="24"/>
              </w:rPr>
              <w:t>②评价方法</w:t>
            </w:r>
          </w:p>
          <w:p>
            <w:pPr>
              <w:adjustRightInd w:val="0"/>
              <w:snapToGrid w:val="0"/>
              <w:spacing w:line="360" w:lineRule="auto"/>
              <w:ind w:firstLine="480" w:firstLineChars="200"/>
              <w:rPr>
                <w:rFonts w:ascii="Times New Roman" w:hAnsi="Times New Roman" w:eastAsia="宋体" w:cs="Times New Roman"/>
                <w:bCs/>
                <w:color w:val="000000"/>
                <w:sz w:val="24"/>
              </w:rPr>
            </w:pPr>
            <w:r>
              <w:rPr>
                <w:rFonts w:ascii="Times New Roman" w:hAnsi="Times New Roman" w:eastAsia="宋体" w:cs="Times New Roman"/>
                <w:bCs/>
                <w:color w:val="000000"/>
                <w:sz w:val="24"/>
              </w:rPr>
              <w:t>a.单项水质参数评价法</w:t>
            </w:r>
          </w:p>
          <w:p>
            <w:pPr>
              <w:adjustRightInd w:val="0"/>
              <w:snapToGrid w:val="0"/>
              <w:spacing w:line="360" w:lineRule="auto"/>
              <w:ind w:firstLine="480" w:firstLineChars="200"/>
              <w:rPr>
                <w:rFonts w:ascii="Times New Roman" w:hAnsi="Times New Roman" w:eastAsia="宋体" w:cs="Times New Roman"/>
                <w:bCs/>
                <w:color w:val="000000"/>
                <w:sz w:val="24"/>
              </w:rPr>
            </w:pPr>
            <w:r>
              <w:rPr>
                <w:rFonts w:ascii="Times New Roman" w:hAnsi="Times New Roman" w:eastAsia="宋体" w:cs="Times New Roman"/>
                <w:bCs/>
                <w:color w:val="000000"/>
                <w:sz w:val="24"/>
              </w:rPr>
              <w:t>评价方法采用单项水质参数（标准指数）评价法。其公式为：</w:t>
            </w:r>
          </w:p>
          <w:p>
            <w:pPr>
              <w:adjustRightInd w:val="0"/>
              <w:snapToGrid w:val="0"/>
              <w:spacing w:line="360" w:lineRule="auto"/>
              <w:ind w:firstLine="2880" w:firstLineChars="1200"/>
              <w:rPr>
                <w:rFonts w:ascii="Times New Roman" w:hAnsi="Times New Roman" w:eastAsia="宋体" w:cs="Times New Roman"/>
                <w:bCs/>
                <w:color w:val="000000"/>
                <w:sz w:val="24"/>
              </w:rPr>
            </w:pPr>
            <w:r>
              <w:rPr>
                <w:rFonts w:ascii="Times New Roman" w:hAnsi="Times New Roman" w:eastAsia="宋体" w:cs="Times New Roman"/>
                <w:bCs/>
                <w:color w:val="000000"/>
                <w:sz w:val="24"/>
              </w:rPr>
              <w:t>S</w:t>
            </w:r>
            <w:r>
              <w:rPr>
                <w:rFonts w:ascii="Times New Roman" w:hAnsi="Times New Roman" w:eastAsia="宋体" w:cs="Times New Roman"/>
                <w:bCs/>
                <w:color w:val="000000"/>
                <w:sz w:val="24"/>
                <w:vertAlign w:val="subscript"/>
              </w:rPr>
              <w:t>ij</w:t>
            </w:r>
            <w:r>
              <w:rPr>
                <w:rFonts w:ascii="Times New Roman" w:hAnsi="Times New Roman" w:eastAsia="宋体" w:cs="Times New Roman"/>
                <w:bCs/>
                <w:color w:val="000000"/>
                <w:sz w:val="24"/>
              </w:rPr>
              <w:t>=C</w:t>
            </w:r>
            <w:r>
              <w:rPr>
                <w:rFonts w:ascii="Times New Roman" w:hAnsi="Times New Roman" w:eastAsia="宋体" w:cs="Times New Roman"/>
                <w:bCs/>
                <w:color w:val="000000"/>
                <w:sz w:val="24"/>
                <w:vertAlign w:val="subscript"/>
              </w:rPr>
              <w:t>ij</w:t>
            </w:r>
            <w:r>
              <w:rPr>
                <w:rFonts w:ascii="Times New Roman" w:hAnsi="Times New Roman" w:eastAsia="宋体" w:cs="Times New Roman"/>
                <w:bCs/>
                <w:color w:val="000000"/>
                <w:sz w:val="24"/>
              </w:rPr>
              <w:t>/C</w:t>
            </w:r>
            <w:r>
              <w:rPr>
                <w:rFonts w:ascii="Times New Roman" w:hAnsi="Times New Roman" w:eastAsia="宋体" w:cs="Times New Roman"/>
                <w:bCs/>
                <w:color w:val="000000"/>
                <w:sz w:val="24"/>
                <w:vertAlign w:val="subscript"/>
              </w:rPr>
              <w:t>si</w:t>
            </w:r>
          </w:p>
          <w:p>
            <w:pPr>
              <w:adjustRightInd w:val="0"/>
              <w:snapToGrid w:val="0"/>
              <w:spacing w:line="360" w:lineRule="auto"/>
              <w:ind w:firstLine="960" w:firstLineChars="400"/>
              <w:rPr>
                <w:rFonts w:ascii="Times New Roman" w:hAnsi="Times New Roman" w:eastAsia="宋体" w:cs="Times New Roman"/>
                <w:color w:val="000000"/>
                <w:sz w:val="24"/>
              </w:rPr>
            </w:pPr>
            <w:r>
              <w:rPr>
                <w:rFonts w:ascii="Times New Roman" w:hAnsi="Times New Roman" w:eastAsia="宋体" w:cs="Times New Roman"/>
                <w:bCs/>
                <w:color w:val="000000"/>
                <w:sz w:val="24"/>
              </w:rPr>
              <w:t>式中：</w:t>
            </w:r>
            <w:r>
              <w:rPr>
                <w:rFonts w:ascii="Times New Roman" w:hAnsi="Times New Roman" w:eastAsia="宋体" w:cs="Times New Roman"/>
                <w:color w:val="000000"/>
                <w:sz w:val="24"/>
              </w:rPr>
              <w:t>S</w:t>
            </w:r>
            <w:r>
              <w:rPr>
                <w:rFonts w:ascii="Times New Roman" w:hAnsi="Times New Roman" w:eastAsia="宋体" w:cs="Times New Roman"/>
                <w:color w:val="000000"/>
                <w:sz w:val="24"/>
                <w:vertAlign w:val="subscript"/>
              </w:rPr>
              <w:t>ij</w:t>
            </w:r>
            <w:r>
              <w:rPr>
                <w:rFonts w:ascii="Times New Roman" w:hAnsi="Times New Roman" w:eastAsia="宋体" w:cs="Times New Roman"/>
                <w:color w:val="000000"/>
                <w:sz w:val="24"/>
              </w:rPr>
              <w:t>——i污染物在j点的标准指数</w:t>
            </w:r>
          </w:p>
          <w:p>
            <w:pPr>
              <w:adjustRightInd w:val="0"/>
              <w:snapToGrid w:val="0"/>
              <w:spacing w:line="360" w:lineRule="auto"/>
              <w:ind w:firstLine="1200" w:firstLineChars="500"/>
              <w:rPr>
                <w:rFonts w:ascii="Times New Roman" w:hAnsi="Times New Roman" w:eastAsia="宋体" w:cs="Times New Roman"/>
                <w:color w:val="000000"/>
                <w:sz w:val="24"/>
                <w:szCs w:val="16"/>
              </w:rPr>
            </w:pPr>
            <w:r>
              <w:rPr>
                <w:rFonts w:ascii="Times New Roman" w:hAnsi="Times New Roman" w:eastAsia="宋体" w:cs="Times New Roman"/>
                <w:color w:val="000000"/>
                <w:sz w:val="24"/>
                <w:szCs w:val="16"/>
              </w:rPr>
              <w:t>C</w:t>
            </w:r>
            <w:r>
              <w:rPr>
                <w:rFonts w:ascii="Times New Roman" w:hAnsi="Times New Roman" w:eastAsia="宋体" w:cs="Times New Roman"/>
                <w:color w:val="000000"/>
                <w:sz w:val="24"/>
                <w:szCs w:val="16"/>
                <w:vertAlign w:val="subscript"/>
              </w:rPr>
              <w:t>ij</w:t>
            </w:r>
            <w:r>
              <w:rPr>
                <w:rFonts w:ascii="Times New Roman" w:hAnsi="Times New Roman" w:eastAsia="宋体" w:cs="Times New Roman"/>
                <w:color w:val="000000"/>
                <w:sz w:val="24"/>
                <w:szCs w:val="16"/>
              </w:rPr>
              <w:t>——i污染物在j点的平均实测浓度值</w:t>
            </w:r>
          </w:p>
          <w:p>
            <w:pPr>
              <w:adjustRightInd w:val="0"/>
              <w:snapToGrid w:val="0"/>
              <w:spacing w:line="360" w:lineRule="auto"/>
              <w:ind w:firstLine="1200" w:firstLineChars="500"/>
              <w:rPr>
                <w:rFonts w:ascii="Times New Roman" w:hAnsi="Times New Roman" w:eastAsia="宋体" w:cs="Times New Roman"/>
                <w:color w:val="000000"/>
                <w:sz w:val="24"/>
                <w:szCs w:val="16"/>
              </w:rPr>
            </w:pPr>
            <w:r>
              <w:rPr>
                <w:rFonts w:ascii="Times New Roman" w:hAnsi="Times New Roman" w:eastAsia="宋体" w:cs="Times New Roman"/>
                <w:color w:val="000000"/>
                <w:sz w:val="24"/>
                <w:szCs w:val="16"/>
              </w:rPr>
              <w:t>C</w:t>
            </w:r>
            <w:r>
              <w:rPr>
                <w:rFonts w:ascii="Times New Roman" w:hAnsi="Times New Roman" w:eastAsia="宋体" w:cs="Times New Roman"/>
                <w:color w:val="000000"/>
                <w:sz w:val="24"/>
                <w:szCs w:val="16"/>
                <w:vertAlign w:val="subscript"/>
              </w:rPr>
              <w:t>si</w:t>
            </w:r>
            <w:r>
              <w:rPr>
                <w:rFonts w:ascii="Times New Roman" w:hAnsi="Times New Roman" w:eastAsia="宋体" w:cs="Times New Roman"/>
                <w:color w:val="000000"/>
                <w:sz w:val="24"/>
                <w:szCs w:val="16"/>
              </w:rPr>
              <w:t>——i污染物的标准值</w:t>
            </w: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pH评价的标准指数：</w:t>
            </w:r>
          </w:p>
          <w:p>
            <w:pPr>
              <w:adjustRightInd w:val="0"/>
              <w:snapToGrid w:val="0"/>
              <w:spacing w:line="360" w:lineRule="auto"/>
              <w:ind w:firstLine="6510" w:firstLineChars="3100"/>
              <w:rPr>
                <w:rFonts w:ascii="Times New Roman" w:hAnsi="Times New Roman" w:eastAsia="宋体" w:cs="Times New Roman"/>
                <w:color w:val="000000"/>
                <w:sz w:val="24"/>
              </w:rPr>
            </w:pPr>
            <w:r>
              <w:rPr>
                <w:rFonts w:ascii="Times New Roman" w:hAnsi="Times New Roman" w:eastAsia="宋体" w:cs="Times New Roman"/>
                <w:color w:val="000000"/>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0</wp:posOffset>
                  </wp:positionV>
                  <wp:extent cx="1219200" cy="457200"/>
                  <wp:effectExtent l="0" t="0" r="0" b="0"/>
                  <wp:wrapNone/>
                  <wp:docPr id="4"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7"/>
                          <pic:cNvPicPr>
                            <a:picLocks noChangeAspect="1"/>
                          </pic:cNvPicPr>
                        </pic:nvPicPr>
                        <pic:blipFill>
                          <a:blip r:embed="rId14"/>
                          <a:stretch>
                            <a:fillRect/>
                          </a:stretch>
                        </pic:blipFill>
                        <pic:spPr>
                          <a:xfrm>
                            <a:off x="0" y="0"/>
                            <a:ext cx="1219200" cy="457200"/>
                          </a:xfrm>
                          <a:prstGeom prst="rect">
                            <a:avLst/>
                          </a:prstGeom>
                          <a:noFill/>
                          <a:ln>
                            <a:noFill/>
                          </a:ln>
                        </pic:spPr>
                      </pic:pic>
                    </a:graphicData>
                  </a:graphic>
                </wp:anchor>
              </w:drawing>
            </w:r>
            <w:r>
              <w:rPr>
                <w:rFonts w:ascii="Times New Roman" w:hAnsi="Times New Roman" w:eastAsia="宋体" w:cs="Times New Roman"/>
                <w:color w:val="000000"/>
                <w:sz w:val="24"/>
              </w:rPr>
              <w:t>pH</w:t>
            </w:r>
            <w:r>
              <w:rPr>
                <w:rFonts w:ascii="Times New Roman" w:hAnsi="Times New Roman" w:eastAsia="宋体" w:cs="Times New Roman"/>
                <w:color w:val="000000"/>
                <w:sz w:val="24"/>
                <w:vertAlign w:val="subscript"/>
              </w:rPr>
              <w:t>j</w:t>
            </w:r>
            <w:r>
              <w:rPr>
                <w:rFonts w:ascii="Times New Roman" w:hAnsi="Times New Roman" w:eastAsia="宋体" w:cs="Times New Roman"/>
                <w:color w:val="000000"/>
                <w:sz w:val="24"/>
              </w:rPr>
              <w:t>≤7.0</w:t>
            </w:r>
          </w:p>
          <w:p>
            <w:pPr>
              <w:adjustRightInd w:val="0"/>
              <w:snapToGrid w:val="0"/>
              <w:spacing w:line="360" w:lineRule="auto"/>
              <w:ind w:firstLine="420" w:firstLineChars="200"/>
              <w:rPr>
                <w:rFonts w:ascii="Times New Roman" w:hAnsi="Times New Roman" w:eastAsia="宋体" w:cs="Times New Roman"/>
                <w:color w:val="000000"/>
                <w:sz w:val="24"/>
              </w:rPr>
            </w:pPr>
            <w:r>
              <w:rPr>
                <w:rFonts w:ascii="Times New Roman" w:hAnsi="Times New Roman" w:eastAsia="宋体" w:cs="Times New Roman"/>
                <w:color w:val="000000"/>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203835</wp:posOffset>
                  </wp:positionV>
                  <wp:extent cx="1219200" cy="457200"/>
                  <wp:effectExtent l="0" t="0" r="0" b="0"/>
                  <wp:wrapNone/>
                  <wp:docPr id="5"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0"/>
                          <pic:cNvPicPr>
                            <a:picLocks noChangeAspect="1"/>
                          </pic:cNvPicPr>
                        </pic:nvPicPr>
                        <pic:blipFill>
                          <a:blip r:embed="rId15"/>
                          <a:stretch>
                            <a:fillRect/>
                          </a:stretch>
                        </pic:blipFill>
                        <pic:spPr>
                          <a:xfrm>
                            <a:off x="0" y="0"/>
                            <a:ext cx="1219200" cy="457200"/>
                          </a:xfrm>
                          <a:prstGeom prst="rect">
                            <a:avLst/>
                          </a:prstGeom>
                          <a:noFill/>
                          <a:ln>
                            <a:noFill/>
                          </a:ln>
                        </pic:spPr>
                      </pic:pic>
                    </a:graphicData>
                  </a:graphic>
                </wp:anchor>
              </w:drawing>
            </w:r>
          </w:p>
          <w:p>
            <w:pPr>
              <w:adjustRightInd w:val="0"/>
              <w:snapToGrid w:val="0"/>
              <w:spacing w:line="360" w:lineRule="auto"/>
              <w:ind w:firstLine="6600" w:firstLineChars="2750"/>
              <w:rPr>
                <w:rFonts w:ascii="Times New Roman" w:hAnsi="Times New Roman" w:eastAsia="宋体" w:cs="Times New Roman"/>
                <w:color w:val="000000"/>
                <w:sz w:val="24"/>
              </w:rPr>
            </w:pPr>
            <w:r>
              <w:rPr>
                <w:rFonts w:ascii="Times New Roman" w:hAnsi="Times New Roman" w:eastAsia="宋体" w:cs="Times New Roman"/>
                <w:color w:val="000000"/>
                <w:sz w:val="24"/>
              </w:rPr>
              <w:t>pH</w:t>
            </w:r>
            <w:r>
              <w:rPr>
                <w:rFonts w:ascii="Times New Roman" w:hAnsi="Times New Roman" w:eastAsia="宋体" w:cs="Times New Roman"/>
                <w:color w:val="000000"/>
                <w:sz w:val="24"/>
                <w:vertAlign w:val="subscript"/>
              </w:rPr>
              <w:t>j</w:t>
            </w:r>
            <w:r>
              <w:rPr>
                <w:rFonts w:ascii="Times New Roman" w:hAnsi="Times New Roman" w:eastAsia="宋体" w:cs="Times New Roman"/>
                <w:color w:val="000000"/>
                <w:sz w:val="24"/>
              </w:rPr>
              <w:t>&gt;7.0</w:t>
            </w:r>
          </w:p>
          <w:p>
            <w:pPr>
              <w:adjustRightInd w:val="0"/>
              <w:snapToGrid w:val="0"/>
              <w:spacing w:line="360" w:lineRule="auto"/>
              <w:ind w:firstLine="480" w:firstLineChars="200"/>
              <w:rPr>
                <w:rFonts w:ascii="Times New Roman" w:hAnsi="Times New Roman" w:eastAsia="宋体" w:cs="Times New Roman"/>
                <w:color w:val="000000"/>
                <w:sz w:val="24"/>
              </w:rPr>
            </w:pP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式中：S</w:t>
            </w:r>
            <w:r>
              <w:rPr>
                <w:rFonts w:ascii="Times New Roman" w:hAnsi="Times New Roman" w:eastAsia="宋体" w:cs="Times New Roman"/>
                <w:color w:val="000000"/>
                <w:sz w:val="24"/>
                <w:vertAlign w:val="subscript"/>
              </w:rPr>
              <w:t xml:space="preserve">pHj </w:t>
            </w:r>
            <w:r>
              <w:rPr>
                <w:rFonts w:ascii="Times New Roman" w:hAnsi="Times New Roman" w:eastAsia="宋体" w:cs="Times New Roman"/>
                <w:color w:val="000000"/>
                <w:sz w:val="24"/>
              </w:rPr>
              <w:t>——指pH的单因子指数；</w:t>
            </w:r>
          </w:p>
          <w:p>
            <w:pPr>
              <w:adjustRightInd w:val="0"/>
              <w:snapToGrid w:val="0"/>
              <w:spacing w:line="360" w:lineRule="auto"/>
              <w:ind w:firstLine="1200" w:firstLineChars="500"/>
              <w:rPr>
                <w:rFonts w:ascii="Times New Roman" w:hAnsi="Times New Roman" w:eastAsia="宋体" w:cs="Times New Roman"/>
                <w:color w:val="000000"/>
                <w:sz w:val="24"/>
              </w:rPr>
            </w:pPr>
            <w:r>
              <w:rPr>
                <w:rFonts w:ascii="Times New Roman" w:hAnsi="Times New Roman" w:eastAsia="宋体" w:cs="Times New Roman"/>
                <w:color w:val="000000"/>
                <w:sz w:val="24"/>
              </w:rPr>
              <w:t>pH</w:t>
            </w:r>
            <w:r>
              <w:rPr>
                <w:rFonts w:ascii="Times New Roman" w:hAnsi="Times New Roman" w:eastAsia="宋体" w:cs="Times New Roman"/>
                <w:color w:val="000000"/>
                <w:sz w:val="24"/>
                <w:vertAlign w:val="subscript"/>
              </w:rPr>
              <w:t xml:space="preserve">sd </w:t>
            </w:r>
            <w:r>
              <w:rPr>
                <w:rFonts w:ascii="Times New Roman" w:hAnsi="Times New Roman" w:eastAsia="宋体" w:cs="Times New Roman"/>
                <w:color w:val="000000"/>
                <w:sz w:val="24"/>
              </w:rPr>
              <w:t>——地表水水质标准中规定的pH值下限；</w:t>
            </w:r>
          </w:p>
          <w:p>
            <w:pPr>
              <w:adjustRightInd w:val="0"/>
              <w:snapToGrid w:val="0"/>
              <w:spacing w:line="360" w:lineRule="auto"/>
              <w:ind w:firstLine="1200" w:firstLineChars="500"/>
              <w:rPr>
                <w:rFonts w:ascii="Times New Roman" w:hAnsi="Times New Roman" w:eastAsia="宋体" w:cs="Times New Roman"/>
                <w:color w:val="000000"/>
                <w:sz w:val="24"/>
              </w:rPr>
            </w:pPr>
            <w:r>
              <w:rPr>
                <w:rFonts w:ascii="Times New Roman" w:hAnsi="Times New Roman" w:eastAsia="宋体" w:cs="Times New Roman"/>
                <w:color w:val="000000"/>
                <w:sz w:val="24"/>
              </w:rPr>
              <w:t>pH</w:t>
            </w:r>
            <w:r>
              <w:rPr>
                <w:rFonts w:ascii="Times New Roman" w:hAnsi="Times New Roman" w:eastAsia="宋体" w:cs="Times New Roman"/>
                <w:color w:val="000000"/>
                <w:sz w:val="24"/>
                <w:vertAlign w:val="subscript"/>
              </w:rPr>
              <w:t xml:space="preserve">su </w:t>
            </w:r>
            <w:r>
              <w:rPr>
                <w:rFonts w:ascii="Times New Roman" w:hAnsi="Times New Roman" w:eastAsia="宋体" w:cs="Times New Roman"/>
                <w:color w:val="000000"/>
                <w:sz w:val="24"/>
              </w:rPr>
              <w:t>——地表水水质标准中规定的pH值上限；</w:t>
            </w:r>
          </w:p>
          <w:p>
            <w:pPr>
              <w:adjustRightInd w:val="0"/>
              <w:snapToGrid w:val="0"/>
              <w:spacing w:line="360" w:lineRule="auto"/>
              <w:ind w:firstLine="1200" w:firstLineChars="500"/>
              <w:rPr>
                <w:rFonts w:ascii="Times New Roman" w:hAnsi="Times New Roman" w:eastAsia="宋体" w:cs="Times New Roman"/>
                <w:color w:val="000000"/>
                <w:sz w:val="24"/>
                <w:highlight w:val="yellow"/>
              </w:rPr>
            </w:pPr>
            <w:r>
              <w:rPr>
                <w:rFonts w:ascii="Times New Roman" w:hAnsi="Times New Roman" w:eastAsia="宋体" w:cs="Times New Roman"/>
                <w:color w:val="000000"/>
                <w:sz w:val="24"/>
              </w:rPr>
              <w:t>pH</w:t>
            </w:r>
            <w:r>
              <w:rPr>
                <w:rFonts w:ascii="Times New Roman" w:hAnsi="Times New Roman" w:eastAsia="宋体" w:cs="Times New Roman"/>
                <w:color w:val="000000"/>
                <w:sz w:val="24"/>
                <w:vertAlign w:val="subscript"/>
              </w:rPr>
              <w:t xml:space="preserve">j </w:t>
            </w:r>
            <w:r>
              <w:rPr>
                <w:rFonts w:ascii="Times New Roman" w:hAnsi="Times New Roman" w:eastAsia="宋体" w:cs="Times New Roman"/>
                <w:color w:val="000000"/>
                <w:sz w:val="24"/>
              </w:rPr>
              <w:t>——指pH值的实测平均值。</w:t>
            </w:r>
          </w:p>
          <w:p>
            <w:pPr>
              <w:adjustRightInd w:val="0"/>
              <w:snapToGrid w:val="0"/>
              <w:spacing w:line="360" w:lineRule="auto"/>
              <w:ind w:firstLine="482" w:firstLineChars="200"/>
              <w:rPr>
                <w:rFonts w:ascii="Times New Roman" w:hAnsi="Times New Roman" w:eastAsia="宋体" w:cs="Times New Roman"/>
                <w:b/>
                <w:bCs/>
                <w:color w:val="000000"/>
                <w:sz w:val="24"/>
                <w:szCs w:val="16"/>
              </w:rPr>
            </w:pPr>
            <w:r>
              <w:rPr>
                <w:rFonts w:ascii="Times New Roman" w:hAnsi="Times New Roman" w:eastAsia="宋体" w:cs="Times New Roman"/>
                <w:b/>
                <w:bCs/>
                <w:color w:val="000000"/>
                <w:sz w:val="24"/>
                <w:szCs w:val="16"/>
              </w:rPr>
              <w:t>（5）监测结果</w:t>
            </w:r>
          </w:p>
          <w:p>
            <w:pPr>
              <w:adjustRightInd w:val="0"/>
              <w:snapToGrid w:val="0"/>
              <w:spacing w:line="360" w:lineRule="auto"/>
              <w:ind w:firstLine="480" w:firstLineChars="200"/>
              <w:jc w:val="left"/>
              <w:rPr>
                <w:rFonts w:ascii="Times New Roman" w:hAnsi="Times New Roman" w:eastAsia="宋体" w:cs="Times New Roman"/>
                <w:color w:val="000000"/>
                <w:sz w:val="24"/>
              </w:rPr>
            </w:pPr>
            <w:bookmarkStart w:id="6" w:name="_Toc482826117"/>
            <w:bookmarkStart w:id="7" w:name="_Toc477187466"/>
            <w:bookmarkStart w:id="8" w:name="_Toc477159437"/>
            <w:bookmarkStart w:id="9" w:name="_Toc477242547"/>
            <w:bookmarkStart w:id="10" w:name="_Toc480881007"/>
            <w:r>
              <w:rPr>
                <w:rFonts w:ascii="Times New Roman" w:hAnsi="Times New Roman" w:eastAsia="宋体" w:cs="Times New Roman"/>
                <w:color w:val="000000"/>
                <w:sz w:val="24"/>
              </w:rPr>
              <w:t>本次评价对水质监测结果进行地下水水质评价。</w:t>
            </w:r>
          </w:p>
          <w:p>
            <w:pPr>
              <w:pStyle w:val="33"/>
              <w:numPr>
                <w:ilvl w:val="0"/>
                <w:numId w:val="0"/>
              </w:numPr>
              <w:spacing w:line="360" w:lineRule="auto"/>
              <w:rPr>
                <w:rFonts w:ascii="Times New Roman" w:hAnsi="Times New Roman" w:cs="Times New Roman"/>
                <w:bCs/>
                <w:sz w:val="24"/>
                <w:szCs w:val="24"/>
              </w:rPr>
            </w:pPr>
            <w:bookmarkStart w:id="11" w:name="_Toc486342639"/>
            <w:r>
              <w:rPr>
                <w:rFonts w:hint="eastAsia" w:ascii="Times New Roman" w:hAnsi="Times New Roman" w:cs="Times New Roman"/>
                <w:bCs/>
                <w:sz w:val="24"/>
                <w:szCs w:val="24"/>
              </w:rPr>
              <w:t>表2</w:t>
            </w:r>
            <w:r>
              <w:rPr>
                <w:rFonts w:hint="eastAsia" w:ascii="Times New Roman" w:hAnsi="Times New Roman" w:cs="Times New Roman"/>
                <w:bCs/>
                <w:sz w:val="24"/>
                <w:szCs w:val="24"/>
                <w:lang w:val="en-US" w:eastAsia="zh-CN"/>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地下水监测结果</w:t>
            </w:r>
          </w:p>
          <w:tbl>
            <w:tblPr>
              <w:tblStyle w:val="25"/>
              <w:tblW w:w="468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39"/>
              <w:gridCol w:w="1961"/>
              <w:gridCol w:w="18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48"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项目点位</w:t>
                  </w:r>
                </w:p>
              </w:tc>
              <w:tc>
                <w:tcPr>
                  <w:tcW w:w="1125"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监测日期</w:t>
                  </w:r>
                </w:p>
              </w:tc>
              <w:tc>
                <w:tcPr>
                  <w:tcW w:w="1346"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项目所在地</w:t>
                  </w:r>
                </w:p>
              </w:tc>
              <w:tc>
                <w:tcPr>
                  <w:tcW w:w="1279"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jc w:val="center"/>
                    <w:rPr>
                      <w:rFonts w:ascii="Times New Roman" w:hAnsi="Times New Roman" w:eastAsia="宋体" w:cs="Times New Roman"/>
                      <w:szCs w:val="21"/>
                    </w:rPr>
                  </w:pPr>
                  <w:r>
                    <w:rPr>
                      <w:rFonts w:ascii="Times New Roman" w:hAnsi="Times New Roman" w:cs="Times New Roman"/>
                      <w:szCs w:val="21"/>
                    </w:rPr>
                    <w:t>pH</w:t>
                  </w:r>
                </w:p>
              </w:tc>
              <w:tc>
                <w:tcPr>
                  <w:tcW w:w="1125" w:type="pct"/>
                  <w:vMerge w:val="restart"/>
                  <w:noWrap/>
                  <w:vAlign w:val="center"/>
                </w:tcPr>
                <w:p>
                  <w:pPr>
                    <w:snapToGrid w:val="0"/>
                    <w:jc w:val="center"/>
                    <w:rPr>
                      <w:rFonts w:ascii="Times New Roman" w:hAnsi="Times New Roman" w:eastAsia="宋体" w:cs="Times New Roman"/>
                      <w:color w:val="FF0000"/>
                      <w:szCs w:val="21"/>
                    </w:rPr>
                  </w:pPr>
                  <w:r>
                    <w:rPr>
                      <w:rFonts w:ascii="Times New Roman" w:hAnsi="Times New Roman" w:eastAsia="宋体" w:cs="Times New Roman"/>
                      <w:szCs w:val="21"/>
                    </w:rPr>
                    <w:t>2022.</w:t>
                  </w:r>
                  <w:r>
                    <w:rPr>
                      <w:rFonts w:hint="eastAsia" w:ascii="Times New Roman" w:hAnsi="Times New Roman" w:eastAsia="宋体" w:cs="Times New Roman"/>
                      <w:szCs w:val="21"/>
                    </w:rPr>
                    <w:t>11</w:t>
                  </w:r>
                  <w:r>
                    <w:rPr>
                      <w:rFonts w:ascii="Times New Roman" w:hAnsi="Times New Roman" w:eastAsia="宋体" w:cs="Times New Roman"/>
                      <w:szCs w:val="21"/>
                    </w:rPr>
                    <w:t>.2</w:t>
                  </w:r>
                  <w:r>
                    <w:rPr>
                      <w:rFonts w:hint="eastAsia" w:ascii="Times New Roman" w:hAnsi="Times New Roman" w:eastAsia="宋体" w:cs="Times New Roman"/>
                      <w:szCs w:val="21"/>
                    </w:rPr>
                    <w:t>3</w:t>
                  </w: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7.43</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溶解性总固体</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258</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jc w:val="center"/>
                    <w:rPr>
                      <w:rFonts w:ascii="Times New Roman" w:hAnsi="Times New Roman" w:eastAsia="宋体" w:cs="Times New Roman"/>
                      <w:szCs w:val="21"/>
                    </w:rPr>
                  </w:pPr>
                  <w:r>
                    <w:rPr>
                      <w:rFonts w:ascii="Times New Roman" w:hAnsi="Times New Roman" w:cs="Times New Roman"/>
                      <w:szCs w:val="21"/>
                    </w:rPr>
                    <w:t>氨氮</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0.143</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widowControl/>
                    <w:jc w:val="center"/>
                    <w:rPr>
                      <w:rFonts w:ascii="Times New Roman" w:hAnsi="Times New Roman" w:eastAsia="宋体" w:cs="Times New Roman"/>
                      <w:szCs w:val="21"/>
                    </w:rPr>
                  </w:pPr>
                  <w:r>
                    <w:rPr>
                      <w:rFonts w:ascii="Times New Roman" w:hAnsi="Times New Roman" w:cs="Times New Roman"/>
                      <w:kern w:val="0"/>
                      <w:szCs w:val="21"/>
                    </w:rPr>
                    <w:t>硝酸盐氮</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3.5</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widowControl/>
                    <w:jc w:val="center"/>
                    <w:rPr>
                      <w:rFonts w:ascii="Times New Roman" w:hAnsi="Times New Roman" w:eastAsia="宋体" w:cs="Times New Roman"/>
                      <w:color w:val="000000"/>
                      <w:szCs w:val="21"/>
                    </w:rPr>
                  </w:pPr>
                  <w:r>
                    <w:rPr>
                      <w:rFonts w:ascii="Times New Roman" w:hAnsi="Times New Roman" w:cs="Times New Roman"/>
                      <w:kern w:val="0"/>
                      <w:szCs w:val="21"/>
                    </w:rPr>
                    <w:t>亚硝酸盐氮</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lang w:bidi="en-US"/>
                    </w:rPr>
                    <w:t>0.</w:t>
                  </w:r>
                  <w:r>
                    <w:rPr>
                      <w:rFonts w:ascii="Times New Roman" w:hAnsi="Times New Roman" w:cs="Times New Roman"/>
                      <w:color w:val="000000"/>
                      <w:szCs w:val="21"/>
                    </w:rPr>
                    <w:t>001</w:t>
                  </w:r>
                  <w:r>
                    <w:rPr>
                      <w:rFonts w:ascii="Times New Roman" w:hAnsi="Times New Roman" w:cs="Times New Roman"/>
                      <w:color w:val="000000"/>
                      <w:szCs w:val="21"/>
                      <w:lang w:bidi="en-US"/>
                    </w:rPr>
                    <w:t>(L)</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48" w:type="pct"/>
                  <w:noWrap/>
                  <w:vAlign w:val="center"/>
                </w:tcPr>
                <w:p>
                  <w:pPr>
                    <w:ind w:left="-105" w:leftChars="-50" w:right="-105" w:rightChars="-50"/>
                    <w:jc w:val="center"/>
                    <w:rPr>
                      <w:rFonts w:ascii="Times New Roman" w:hAnsi="Times New Roman" w:eastAsia="宋体" w:cs="Times New Roman"/>
                      <w:color w:val="000000"/>
                      <w:szCs w:val="21"/>
                    </w:rPr>
                  </w:pPr>
                  <w:r>
                    <w:rPr>
                      <w:rFonts w:ascii="Times New Roman" w:hAnsi="Times New Roman" w:cs="Times New Roman"/>
                      <w:szCs w:val="21"/>
                    </w:rPr>
                    <w:t>总硬度</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226</w:t>
                  </w:r>
                </w:p>
              </w:tc>
              <w:tc>
                <w:tcPr>
                  <w:tcW w:w="1279"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widowControl/>
                    <w:jc w:val="center"/>
                    <w:rPr>
                      <w:rFonts w:ascii="Times New Roman" w:hAnsi="Times New Roman" w:eastAsia="宋体" w:cs="Times New Roman"/>
                      <w:szCs w:val="21"/>
                    </w:rPr>
                  </w:pPr>
                  <w:r>
                    <w:rPr>
                      <w:rFonts w:ascii="Times New Roman" w:hAnsi="Times New Roman" w:cs="Times New Roman"/>
                      <w:kern w:val="0"/>
                      <w:szCs w:val="21"/>
                    </w:rPr>
                    <w:t>细菌总数</w:t>
                  </w:r>
                </w:p>
              </w:tc>
              <w:tc>
                <w:tcPr>
                  <w:tcW w:w="1125" w:type="pct"/>
                  <w:vMerge w:val="continue"/>
                  <w:noWrap/>
                  <w:vAlign w:val="center"/>
                </w:tcPr>
                <w:p>
                  <w:pPr>
                    <w:snapToGrid w:val="0"/>
                    <w:jc w:val="center"/>
                    <w:rPr>
                      <w:rFonts w:ascii="Times New Roman" w:hAnsi="Times New Roman" w:eastAsia="宋体" w:cs="Times New Roman"/>
                      <w:szCs w:val="21"/>
                    </w:rPr>
                  </w:pPr>
                </w:p>
              </w:tc>
              <w:tc>
                <w:tcPr>
                  <w:tcW w:w="1346" w:type="pct"/>
                  <w:noWrap/>
                  <w:vAlign w:val="center"/>
                </w:tcPr>
                <w:p>
                  <w:pPr>
                    <w:spacing w:line="320" w:lineRule="exact"/>
                    <w:jc w:val="center"/>
                    <w:rPr>
                      <w:rFonts w:ascii="Times New Roman" w:hAnsi="Times New Roman" w:eastAsia="宋体" w:cs="Times New Roman"/>
                      <w:szCs w:val="21"/>
                    </w:rPr>
                  </w:pPr>
                  <w:r>
                    <w:rPr>
                      <w:rFonts w:ascii="Times New Roman" w:hAnsi="Times New Roman" w:cs="Times New Roman"/>
                      <w:color w:val="000000"/>
                      <w:szCs w:val="21"/>
                    </w:rPr>
                    <w:t>35</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CFU/ml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pct"/>
                  <w:noWrap/>
                  <w:vAlign w:val="center"/>
                </w:tcPr>
                <w:p>
                  <w:pPr>
                    <w:jc w:val="center"/>
                    <w:rPr>
                      <w:rFonts w:ascii="Times New Roman" w:hAnsi="Times New Roman" w:eastAsia="宋体" w:cs="Times New Roman"/>
                      <w:color w:val="FF0000"/>
                      <w:szCs w:val="21"/>
                    </w:rPr>
                  </w:pPr>
                  <w:r>
                    <w:rPr>
                      <w:rFonts w:ascii="Times New Roman" w:hAnsi="Times New Roman" w:cs="Times New Roman"/>
                      <w:szCs w:val="21"/>
                    </w:rPr>
                    <w:t>石油类</w:t>
                  </w:r>
                </w:p>
              </w:tc>
              <w:tc>
                <w:tcPr>
                  <w:tcW w:w="1125" w:type="pct"/>
                  <w:vMerge w:val="continue"/>
                  <w:noWrap/>
                  <w:vAlign w:val="center"/>
                </w:tcPr>
                <w:p>
                  <w:pPr>
                    <w:snapToGrid w:val="0"/>
                    <w:jc w:val="center"/>
                    <w:rPr>
                      <w:rFonts w:ascii="Times New Roman" w:hAnsi="Times New Roman" w:eastAsia="宋体" w:cs="Times New Roman"/>
                      <w:color w:val="FF0000"/>
                      <w:szCs w:val="21"/>
                    </w:rPr>
                  </w:pPr>
                </w:p>
              </w:tc>
              <w:tc>
                <w:tcPr>
                  <w:tcW w:w="1346" w:type="pct"/>
                  <w:noWrap/>
                  <w:vAlign w:val="center"/>
                </w:tcPr>
                <w:p>
                  <w:pPr>
                    <w:spacing w:line="320" w:lineRule="exact"/>
                    <w:jc w:val="center"/>
                    <w:rPr>
                      <w:rFonts w:ascii="Times New Roman" w:hAnsi="Times New Roman" w:eastAsia="宋体" w:cs="Times New Roman"/>
                      <w:color w:val="FF0000"/>
                      <w:szCs w:val="21"/>
                    </w:rPr>
                  </w:pPr>
                  <w:r>
                    <w:rPr>
                      <w:rFonts w:ascii="Times New Roman" w:hAnsi="Times New Roman" w:cs="Times New Roman"/>
                      <w:szCs w:val="21"/>
                    </w:rPr>
                    <w:t>0.01</w:t>
                  </w:r>
                  <w:r>
                    <w:rPr>
                      <w:rFonts w:ascii="Times New Roman" w:hAnsi="Times New Roman" w:cs="Times New Roman"/>
                      <w:color w:val="000000"/>
                      <w:szCs w:val="21"/>
                      <w:lang w:bidi="en-US"/>
                    </w:rPr>
                    <w:t>(L)</w:t>
                  </w:r>
                </w:p>
              </w:tc>
              <w:tc>
                <w:tcPr>
                  <w:tcW w:w="1279" w:type="pct"/>
                  <w:noWrap/>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mg/L</w:t>
                  </w:r>
                </w:p>
              </w:tc>
            </w:tr>
          </w:tbl>
          <w:p>
            <w:pPr>
              <w:adjustRightInd w:val="0"/>
              <w:snapToGrid w:val="0"/>
              <w:spacing w:line="360" w:lineRule="auto"/>
              <w:ind w:firstLine="422" w:firstLineChars="200"/>
              <w:rPr>
                <w:rFonts w:ascii="Times New Roman" w:hAnsi="Times New Roman" w:eastAsia="宋体" w:cs="Times New Roman"/>
                <w:color w:val="000000"/>
                <w:sz w:val="24"/>
              </w:rPr>
            </w:pPr>
            <w:r>
              <w:rPr>
                <w:rFonts w:ascii="Times New Roman" w:hAnsi="Times New Roman" w:eastAsia="宋体" w:cs="Times New Roman"/>
                <w:b/>
                <w:color w:val="000000"/>
                <w:szCs w:val="21"/>
              </w:rPr>
              <w:t>注：L表示低于检出线。</w:t>
            </w:r>
          </w:p>
          <w:p>
            <w:pPr>
              <w:adjustRightInd w:val="0"/>
              <w:snapToGrid w:val="0"/>
              <w:spacing w:line="360" w:lineRule="auto"/>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（6）评价结果及分析</w:t>
            </w:r>
          </w:p>
          <w:p>
            <w:pPr>
              <w:adjustRightInd w:val="0"/>
              <w:snapToGrid w:val="0"/>
              <w:spacing w:line="360" w:lineRule="auto"/>
              <w:ind w:firstLine="480" w:firstLineChars="200"/>
              <w:jc w:val="left"/>
              <w:rPr>
                <w:rFonts w:ascii="Times New Roman" w:hAnsi="Times New Roman" w:eastAsia="宋体" w:cs="Times New Roman"/>
                <w:color w:val="000000"/>
                <w:sz w:val="24"/>
              </w:rPr>
            </w:pPr>
            <w:r>
              <w:rPr>
                <w:rFonts w:ascii="Times New Roman" w:hAnsi="Times New Roman" w:eastAsia="宋体" w:cs="Times New Roman"/>
                <w:color w:val="000000"/>
                <w:sz w:val="24"/>
              </w:rPr>
              <w:t>评价结果及分析详见下表。</w:t>
            </w:r>
          </w:p>
          <w:p>
            <w:pPr>
              <w:pStyle w:val="33"/>
              <w:numPr>
                <w:ilvl w:val="0"/>
                <w:numId w:val="0"/>
              </w:numPr>
              <w:wordWrap w:val="0"/>
              <w:spacing w:line="360" w:lineRule="auto"/>
              <w:jc w:val="right"/>
              <w:rPr>
                <w:rFonts w:ascii="Times New Roman" w:hAnsi="Times New Roman" w:cs="Times New Roman"/>
                <w:bCs/>
              </w:rPr>
            </w:pPr>
            <w:r>
              <w:rPr>
                <w:rFonts w:hint="eastAsia" w:ascii="Times New Roman" w:hAnsi="Times New Roman" w:cs="Times New Roman"/>
                <w:bCs/>
                <w:sz w:val="24"/>
                <w:szCs w:val="24"/>
              </w:rPr>
              <w:t>表2</w:t>
            </w:r>
            <w:r>
              <w:rPr>
                <w:rFonts w:hint="eastAsia" w:ascii="Times New Roman" w:hAnsi="Times New Roman" w:cs="Times New Roman"/>
                <w:bCs/>
                <w:sz w:val="24"/>
                <w:szCs w:val="24"/>
                <w:lang w:val="en-US" w:eastAsia="zh-CN"/>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地下水评价结果</w:t>
            </w:r>
            <w:r>
              <w:rPr>
                <w:rFonts w:hint="eastAsia" w:ascii="Times New Roman" w:hAnsi="Times New Roman" w:cs="Times New Roman"/>
                <w:bCs/>
                <w:lang w:val="en-US" w:eastAsia="zh-CN"/>
              </w:rPr>
              <w:t xml:space="preserve">      </w:t>
            </w:r>
            <w:r>
              <w:rPr>
                <w:rFonts w:hint="eastAsia" w:ascii="宋体" w:hAnsi="宋体" w:cs="宋体"/>
              </w:rPr>
              <w:t>单位：mg/L (pH无量纲）</w:t>
            </w:r>
          </w:p>
          <w:tbl>
            <w:tblPr>
              <w:tblStyle w:val="25"/>
              <w:tblW w:w="472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430"/>
              <w:gridCol w:w="2073"/>
              <w:gridCol w:w="16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88"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项目点位</w:t>
                  </w:r>
                </w:p>
              </w:tc>
              <w:tc>
                <w:tcPr>
                  <w:tcW w:w="972"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监测日期</w:t>
                  </w:r>
                </w:p>
              </w:tc>
              <w:tc>
                <w:tcPr>
                  <w:tcW w:w="1410"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项目所在地</w:t>
                  </w:r>
                </w:p>
              </w:tc>
              <w:tc>
                <w:tcPr>
                  <w:tcW w:w="1128"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jc w:val="center"/>
                    <w:rPr>
                      <w:rFonts w:ascii="Times New Roman" w:hAnsi="Times New Roman" w:eastAsia="宋体" w:cs="Times New Roman"/>
                      <w:szCs w:val="21"/>
                    </w:rPr>
                  </w:pPr>
                  <w:r>
                    <w:rPr>
                      <w:rFonts w:ascii="Times New Roman" w:hAnsi="Times New Roman" w:cs="Times New Roman"/>
                      <w:szCs w:val="21"/>
                    </w:rPr>
                    <w:t>pH</w:t>
                  </w:r>
                </w:p>
              </w:tc>
              <w:tc>
                <w:tcPr>
                  <w:tcW w:w="972" w:type="pct"/>
                  <w:vMerge w:val="restar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2022.</w:t>
                  </w:r>
                  <w:r>
                    <w:rPr>
                      <w:rFonts w:hint="eastAsia" w:ascii="Times New Roman" w:hAnsi="Times New Roman" w:eastAsia="宋体" w:cs="Times New Roman"/>
                      <w:szCs w:val="21"/>
                    </w:rPr>
                    <w:t>11</w:t>
                  </w:r>
                  <w:r>
                    <w:rPr>
                      <w:rFonts w:ascii="Times New Roman" w:hAnsi="Times New Roman" w:eastAsia="宋体" w:cs="Times New Roman"/>
                      <w:szCs w:val="21"/>
                    </w:rPr>
                    <w:t>.</w:t>
                  </w:r>
                  <w:r>
                    <w:rPr>
                      <w:rFonts w:hint="eastAsia" w:ascii="Times New Roman" w:hAnsi="Times New Roman" w:eastAsia="宋体" w:cs="Times New Roman"/>
                      <w:szCs w:val="21"/>
                    </w:rPr>
                    <w:t>23</w:t>
                  </w: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 xml:space="preserve">0.29 </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溶解性总固体</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0.258</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jc w:val="center"/>
                    <w:rPr>
                      <w:rFonts w:ascii="Times New Roman" w:hAnsi="Times New Roman" w:eastAsia="宋体" w:cs="Times New Roman"/>
                      <w:szCs w:val="21"/>
                    </w:rPr>
                  </w:pPr>
                  <w:r>
                    <w:rPr>
                      <w:rFonts w:ascii="Times New Roman" w:hAnsi="Times New Roman" w:cs="Times New Roman"/>
                      <w:szCs w:val="21"/>
                    </w:rPr>
                    <w:t>氨氮</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0.286</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widowControl/>
                    <w:jc w:val="center"/>
                    <w:rPr>
                      <w:rFonts w:ascii="Times New Roman" w:hAnsi="Times New Roman" w:eastAsia="宋体" w:cs="Times New Roman"/>
                      <w:szCs w:val="21"/>
                    </w:rPr>
                  </w:pPr>
                  <w:r>
                    <w:rPr>
                      <w:rFonts w:ascii="Times New Roman" w:hAnsi="Times New Roman" w:cs="Times New Roman"/>
                      <w:kern w:val="0"/>
                      <w:szCs w:val="21"/>
                    </w:rPr>
                    <w:t>硝酸盐氮</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0.175</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widowControl/>
                    <w:jc w:val="center"/>
                    <w:rPr>
                      <w:rFonts w:ascii="Times New Roman" w:hAnsi="Times New Roman" w:eastAsia="宋体" w:cs="Times New Roman"/>
                      <w:color w:val="000000"/>
                      <w:szCs w:val="21"/>
                    </w:rPr>
                  </w:pPr>
                  <w:r>
                    <w:rPr>
                      <w:rFonts w:ascii="Times New Roman" w:hAnsi="Times New Roman" w:cs="Times New Roman"/>
                      <w:kern w:val="0"/>
                      <w:szCs w:val="21"/>
                    </w:rPr>
                    <w:t>亚硝酸盐氮</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ind w:left="-105" w:leftChars="-50" w:right="-105" w:rightChars="-50"/>
                    <w:jc w:val="center"/>
                    <w:rPr>
                      <w:rFonts w:ascii="Times New Roman" w:hAnsi="Times New Roman" w:eastAsia="宋体" w:cs="Times New Roman"/>
                      <w:color w:val="000000"/>
                      <w:szCs w:val="21"/>
                    </w:rPr>
                  </w:pPr>
                  <w:r>
                    <w:rPr>
                      <w:rFonts w:ascii="Times New Roman" w:hAnsi="Times New Roman" w:cs="Times New Roman"/>
                      <w:szCs w:val="21"/>
                    </w:rPr>
                    <w:t>总硬度</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 xml:space="preserve">0.50 </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widowControl/>
                    <w:jc w:val="center"/>
                    <w:rPr>
                      <w:rFonts w:ascii="Times New Roman" w:hAnsi="Times New Roman" w:eastAsia="宋体" w:cs="Times New Roman"/>
                      <w:szCs w:val="21"/>
                    </w:rPr>
                  </w:pPr>
                  <w:r>
                    <w:rPr>
                      <w:rFonts w:ascii="Times New Roman" w:hAnsi="Times New Roman" w:cs="Times New Roman"/>
                      <w:kern w:val="0"/>
                      <w:szCs w:val="21"/>
                    </w:rPr>
                    <w:t>细菌总数</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0.35</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CFU/mL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8" w:type="pct"/>
                  <w:noWrap/>
                  <w:vAlign w:val="center"/>
                </w:tcPr>
                <w:p>
                  <w:pPr>
                    <w:jc w:val="center"/>
                    <w:rPr>
                      <w:rFonts w:ascii="Times New Roman" w:hAnsi="Times New Roman" w:eastAsia="宋体" w:cs="Times New Roman"/>
                      <w:szCs w:val="21"/>
                    </w:rPr>
                  </w:pPr>
                  <w:r>
                    <w:rPr>
                      <w:rFonts w:ascii="Times New Roman" w:hAnsi="Times New Roman" w:cs="Times New Roman"/>
                      <w:szCs w:val="21"/>
                    </w:rPr>
                    <w:t>石油类</w:t>
                  </w:r>
                </w:p>
              </w:tc>
              <w:tc>
                <w:tcPr>
                  <w:tcW w:w="972" w:type="pct"/>
                  <w:vMerge w:val="continue"/>
                  <w:noWrap/>
                  <w:vAlign w:val="center"/>
                </w:tcPr>
                <w:p>
                  <w:pPr>
                    <w:snapToGrid w:val="0"/>
                    <w:jc w:val="center"/>
                    <w:rPr>
                      <w:rFonts w:ascii="Times New Roman" w:hAnsi="Times New Roman" w:eastAsia="宋体" w:cs="Times New Roman"/>
                      <w:szCs w:val="21"/>
                    </w:rPr>
                  </w:pPr>
                </w:p>
              </w:tc>
              <w:tc>
                <w:tcPr>
                  <w:tcW w:w="1410" w:type="pct"/>
                  <w:noWrap/>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w:t>
                  </w:r>
                </w:p>
              </w:tc>
              <w:tc>
                <w:tcPr>
                  <w:tcW w:w="1128"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mg/L</w:t>
                  </w:r>
                </w:p>
              </w:tc>
            </w:tr>
          </w:tbl>
          <w:p>
            <w:pPr>
              <w:adjustRightInd w:val="0"/>
              <w:snapToGrid w:val="0"/>
              <w:spacing w:line="240" w:lineRule="auto"/>
              <w:ind w:firstLine="482" w:firstLineChars="200"/>
              <w:jc w:val="left"/>
              <w:rPr>
                <w:rFonts w:ascii="Times New Roman" w:hAnsi="Times New Roman" w:eastAsia="宋体" w:cs="Times New Roman"/>
                <w:b/>
                <w:bCs/>
                <w:sz w:val="24"/>
              </w:rPr>
            </w:pPr>
          </w:p>
          <w:p>
            <w:pPr>
              <w:adjustRightInd w:val="0"/>
              <w:snapToGrid w:val="0"/>
              <w:spacing w:line="360" w:lineRule="auto"/>
              <w:ind w:firstLine="482" w:firstLineChars="200"/>
              <w:jc w:val="left"/>
              <w:rPr>
                <w:rFonts w:ascii="Times New Roman" w:hAnsi="Times New Roman" w:eastAsia="宋体" w:cs="Times New Roman"/>
                <w:b/>
                <w:bCs/>
                <w:sz w:val="24"/>
              </w:rPr>
            </w:pPr>
            <w:r>
              <w:rPr>
                <w:rFonts w:ascii="Times New Roman" w:hAnsi="Times New Roman" w:eastAsia="宋体" w:cs="Times New Roman"/>
                <w:b/>
                <w:bCs/>
                <w:sz w:val="24"/>
              </w:rPr>
              <w:t>（7）地下水质量现状评价</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从监测点位评价结果可以看出，</w:t>
            </w:r>
            <w:r>
              <w:rPr>
                <w:rFonts w:ascii="Times New Roman" w:hAnsi="Times New Roman" w:eastAsia="宋体" w:cs="Times New Roman"/>
                <w:sz w:val="24"/>
                <w:lang w:val="zh-CN"/>
              </w:rPr>
              <w:t>本项目所在区域地下水各监测点各项监测指标满足GB/T14848-</w:t>
            </w:r>
            <w:r>
              <w:rPr>
                <w:rFonts w:ascii="Times New Roman" w:hAnsi="Times New Roman" w:eastAsia="宋体" w:cs="Times New Roman"/>
                <w:sz w:val="24"/>
              </w:rPr>
              <w:t>2017</w:t>
            </w:r>
            <w:r>
              <w:rPr>
                <w:rFonts w:ascii="Times New Roman" w:hAnsi="Times New Roman" w:eastAsia="宋体" w:cs="Times New Roman"/>
                <w:sz w:val="24"/>
                <w:lang w:val="zh-CN"/>
              </w:rPr>
              <w:t>《地下水质量标准》中的Ⅲ类标准要求，说明区域地下水环境质量较好</w:t>
            </w:r>
            <w:r>
              <w:rPr>
                <w:rFonts w:ascii="Times New Roman" w:hAnsi="Times New Roman" w:eastAsia="宋体" w:cs="Times New Roman"/>
                <w:sz w:val="24"/>
              </w:rPr>
              <w:t>。</w:t>
            </w:r>
            <w:bookmarkEnd w:id="6"/>
            <w:bookmarkEnd w:id="7"/>
            <w:bookmarkEnd w:id="8"/>
            <w:bookmarkEnd w:id="9"/>
            <w:bookmarkEnd w:id="10"/>
            <w:bookmarkEnd w:id="11"/>
          </w:p>
          <w:p>
            <w:pPr>
              <w:adjustRightInd w:val="0"/>
              <w:snapToGrid w:val="0"/>
              <w:spacing w:line="360" w:lineRule="auto"/>
              <w:ind w:firstLine="482" w:firstLineChars="200"/>
              <w:rPr>
                <w:b/>
                <w:sz w:val="24"/>
              </w:rPr>
            </w:pPr>
            <w:r>
              <w:rPr>
                <w:rFonts w:hint="eastAsia"/>
                <w:b/>
                <w:sz w:val="24"/>
              </w:rPr>
              <w:t>4、声环境质量现状监测与评价</w:t>
            </w:r>
          </w:p>
          <w:p>
            <w:pPr>
              <w:spacing w:line="360" w:lineRule="auto"/>
              <w:ind w:firstLine="482"/>
              <w:rPr>
                <w:rFonts w:ascii="宋体" w:hAnsi="宋体"/>
                <w:sz w:val="24"/>
              </w:rPr>
            </w:pPr>
            <w:r>
              <w:rPr>
                <w:rFonts w:hint="eastAsia" w:ascii="宋体" w:hAnsi="宋体"/>
                <w:sz w:val="24"/>
              </w:rPr>
              <w:t>根据《建设项目环境影响报告表编制技术指南（污染影响类）（试行）》相关要求，厂界外周边50米范围内存在声环境保护目标的建设项目，应监测保护目标声环境质量现状并评价达标情况。本项目位于</w:t>
            </w:r>
            <w:r>
              <w:rPr>
                <w:rFonts w:ascii="Times New Roman" w:hAnsi="Times New Roman" w:eastAsia="宋体" w:cs="Times New Roman"/>
                <w:sz w:val="24"/>
              </w:rPr>
              <w:t>白城</w:t>
            </w:r>
            <w:r>
              <w:rPr>
                <w:rFonts w:hint="eastAsia" w:ascii="Times New Roman" w:hAnsi="Times New Roman" w:eastAsia="宋体" w:cs="Times New Roman"/>
                <w:sz w:val="24"/>
              </w:rPr>
              <w:t>工业园区东海路北99号</w:t>
            </w:r>
            <w:r>
              <w:rPr>
                <w:rFonts w:hint="eastAsia" w:ascii="宋体" w:hAnsi="宋体"/>
                <w:sz w:val="24"/>
              </w:rPr>
              <w:t>，项目周边无常住居民，厂界外50m范围内无声环境敏感目标，本次未进行声环境现状监测。</w:t>
            </w:r>
          </w:p>
          <w:p>
            <w:pPr>
              <w:adjustRightInd w:val="0"/>
              <w:snapToGrid w:val="0"/>
              <w:spacing w:line="360" w:lineRule="auto"/>
              <w:ind w:firstLine="482" w:firstLineChars="200"/>
              <w:rPr>
                <w:b/>
                <w:sz w:val="24"/>
              </w:rPr>
            </w:pPr>
            <w:r>
              <w:rPr>
                <w:b/>
                <w:sz w:val="24"/>
              </w:rPr>
              <w:t>5、</w:t>
            </w:r>
            <w:r>
              <w:rPr>
                <w:rFonts w:hint="eastAsia"/>
                <w:b/>
                <w:sz w:val="24"/>
              </w:rPr>
              <w:t>土壤质量现状监测与评价</w:t>
            </w:r>
          </w:p>
          <w:p>
            <w:pPr>
              <w:spacing w:line="360" w:lineRule="auto"/>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（1）监测点的布设</w:t>
            </w:r>
          </w:p>
          <w:p>
            <w:pPr>
              <w:spacing w:line="360" w:lineRule="auto"/>
              <w:ind w:firstLine="480" w:firstLineChars="200"/>
              <w:rPr>
                <w:rFonts w:ascii="Times New Roman" w:hAnsi="Times New Roman" w:eastAsia="宋体" w:cs="Times New Roman"/>
                <w:b/>
              </w:rPr>
            </w:pPr>
            <w:r>
              <w:rPr>
                <w:rFonts w:ascii="Times New Roman" w:hAnsi="Times New Roman" w:eastAsia="宋体" w:cs="Times New Roman"/>
                <w:color w:val="000000"/>
                <w:sz w:val="24"/>
              </w:rPr>
              <w:t>根据本项目用地范围已基本全部硬底化，对项目所在地区域土壤进行环境质量现状监测，评价范围内共布设1个监测点位，具体布设情况详</w:t>
            </w:r>
            <w:r>
              <w:rPr>
                <w:rFonts w:ascii="Times New Roman" w:hAnsi="Times New Roman" w:eastAsia="宋体" w:cs="Times New Roman"/>
                <w:sz w:val="24"/>
              </w:rPr>
              <w:t>见表</w:t>
            </w:r>
            <w:r>
              <w:rPr>
                <w:rFonts w:hint="eastAsia" w:ascii="Times New Roman" w:hAnsi="Times New Roman" w:eastAsia="宋体" w:cs="Times New Roman"/>
                <w:sz w:val="24"/>
              </w:rPr>
              <w:t>2</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w:t>
            </w: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表2</w:t>
            </w:r>
            <w:r>
              <w:rPr>
                <w:rFonts w:hint="eastAsia" w:ascii="Times New Roman" w:hAnsi="Times New Roman" w:cs="Times New Roman"/>
                <w:bCs/>
                <w:sz w:val="24"/>
                <w:szCs w:val="24"/>
                <w:lang w:val="en-US" w:eastAsia="zh-CN"/>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土壤监测点位布设情况</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1"/>
              <w:gridCol w:w="1293"/>
              <w:gridCol w:w="36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45" w:hRule="atLeast"/>
              </w:trPr>
              <w:tc>
                <w:tcPr>
                  <w:tcW w:w="429"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396"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布点位置</w:t>
                  </w:r>
                </w:p>
              </w:tc>
              <w:tc>
                <w:tcPr>
                  <w:tcW w:w="832"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取样深度</w:t>
                  </w:r>
                </w:p>
              </w:tc>
              <w:tc>
                <w:tcPr>
                  <w:tcW w:w="2341" w:type="pct"/>
                  <w:noWrap/>
                  <w:vAlign w:val="center"/>
                </w:tcPr>
                <w:p>
                  <w:pPr>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9"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396" w:type="pct"/>
                  <w:noWrap/>
                  <w:vAlign w:val="center"/>
                </w:tcPr>
                <w:p>
                  <w:pPr>
                    <w:pStyle w:val="99"/>
                    <w:snapToGrid w:val="0"/>
                    <w:rPr>
                      <w:szCs w:val="21"/>
                    </w:rPr>
                  </w:pPr>
                  <w:r>
                    <w:rPr>
                      <w:rStyle w:val="30"/>
                    </w:rPr>
                    <w:t>生产车间附近土壤</w:t>
                  </w:r>
                </w:p>
              </w:tc>
              <w:tc>
                <w:tcPr>
                  <w:tcW w:w="832" w:type="pct"/>
                  <w:noWrap/>
                  <w:vAlign w:val="center"/>
                </w:tcPr>
                <w:p>
                  <w:pPr>
                    <w:snapToGrid w:val="0"/>
                    <w:jc w:val="center"/>
                    <w:rPr>
                      <w:rFonts w:ascii="Times New Roman" w:hAnsi="Times New Roman" w:eastAsia="宋体" w:cs="Times New Roman"/>
                    </w:rPr>
                  </w:pPr>
                  <w:r>
                    <w:rPr>
                      <w:rFonts w:ascii="Times New Roman" w:hAnsi="Times New Roman" w:eastAsia="宋体" w:cs="Times New Roman"/>
                      <w:szCs w:val="21"/>
                    </w:rPr>
                    <w:t>0-0.2m</w:t>
                  </w:r>
                </w:p>
              </w:tc>
              <w:tc>
                <w:tcPr>
                  <w:tcW w:w="2341" w:type="pct"/>
                  <w:noWrap/>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GB36600-2018中基本45项+石油烃</w:t>
                  </w:r>
                </w:p>
              </w:tc>
            </w:tr>
          </w:tbl>
          <w:p>
            <w:pPr>
              <w:numPr>
                <w:ilvl w:val="0"/>
                <w:numId w:val="5"/>
              </w:numPr>
              <w:adjustRightInd w:val="0"/>
              <w:snapToGrid w:val="0"/>
              <w:spacing w:line="360" w:lineRule="auto"/>
              <w:ind w:firstLine="480"/>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监测项目</w:t>
            </w:r>
          </w:p>
          <w:p>
            <w:pPr>
              <w:adjustRightInd w:val="0"/>
              <w:snapToGrid w:val="0"/>
              <w:spacing w:line="360" w:lineRule="auto"/>
              <w:ind w:firstLine="480" w:firstLineChars="200"/>
              <w:jc w:val="left"/>
              <w:rPr>
                <w:rFonts w:eastAsia="宋体"/>
                <w:sz w:val="24"/>
              </w:rPr>
            </w:pPr>
            <w:r>
              <w:rPr>
                <w:rFonts w:hint="eastAsia"/>
                <w:sz w:val="24"/>
              </w:rPr>
              <w:t>监测铜、镍、铅、镉、砷、汞、六价铬、四氯化碳、氯仿、氯甲烷、</w:t>
            </w:r>
            <w:r>
              <w:rPr>
                <w:sz w:val="24"/>
              </w:rPr>
              <w:t>1,1-</w:t>
            </w:r>
            <w:r>
              <w:rPr>
                <w:rFonts w:hint="eastAsia"/>
                <w:sz w:val="24"/>
              </w:rPr>
              <w:t>二氯乙烷、</w:t>
            </w:r>
            <w:r>
              <w:rPr>
                <w:sz w:val="24"/>
              </w:rPr>
              <w:t>1,2-</w:t>
            </w:r>
            <w:r>
              <w:rPr>
                <w:rFonts w:hint="eastAsia"/>
                <w:sz w:val="24"/>
              </w:rPr>
              <w:t>二氯乙烷、</w:t>
            </w:r>
            <w:r>
              <w:rPr>
                <w:sz w:val="24"/>
              </w:rPr>
              <w:t>1,1-</w:t>
            </w:r>
            <w:r>
              <w:rPr>
                <w:rFonts w:hint="eastAsia"/>
                <w:sz w:val="24"/>
              </w:rPr>
              <w:t>二氯乙烯、顺</w:t>
            </w:r>
            <w:r>
              <w:rPr>
                <w:sz w:val="24"/>
              </w:rPr>
              <w:t>-1,2-</w:t>
            </w:r>
            <w:r>
              <w:rPr>
                <w:rFonts w:hint="eastAsia"/>
                <w:sz w:val="24"/>
              </w:rPr>
              <w:t>二氯乙烯、反</w:t>
            </w:r>
            <w:r>
              <w:rPr>
                <w:sz w:val="24"/>
              </w:rPr>
              <w:t>-1,2-</w:t>
            </w:r>
            <w:r>
              <w:rPr>
                <w:rFonts w:hint="eastAsia"/>
                <w:sz w:val="24"/>
              </w:rPr>
              <w:t>二氯乙烯、二氯甲烷、</w:t>
            </w:r>
            <w:r>
              <w:rPr>
                <w:sz w:val="24"/>
              </w:rPr>
              <w:t>1,2-</w:t>
            </w:r>
            <w:r>
              <w:rPr>
                <w:rFonts w:hint="eastAsia"/>
                <w:sz w:val="24"/>
              </w:rPr>
              <w:t>二氯丙烷、</w:t>
            </w:r>
            <w:r>
              <w:rPr>
                <w:sz w:val="24"/>
              </w:rPr>
              <w:t>1,1,1,2-</w:t>
            </w:r>
            <w:r>
              <w:rPr>
                <w:rFonts w:hint="eastAsia"/>
                <w:sz w:val="24"/>
              </w:rPr>
              <w:t>四氯乙烷、</w:t>
            </w:r>
            <w:r>
              <w:rPr>
                <w:sz w:val="24"/>
              </w:rPr>
              <w:t>1,1,2,2-</w:t>
            </w:r>
            <w:r>
              <w:rPr>
                <w:rFonts w:hint="eastAsia"/>
                <w:sz w:val="24"/>
              </w:rPr>
              <w:t>四氯乙烷、四氯乙烯、</w:t>
            </w:r>
            <w:r>
              <w:rPr>
                <w:sz w:val="24"/>
              </w:rPr>
              <w:t>1,1,1-</w:t>
            </w:r>
            <w:r>
              <w:rPr>
                <w:rFonts w:hint="eastAsia"/>
                <w:sz w:val="24"/>
              </w:rPr>
              <w:t>三氯乙烷、</w:t>
            </w:r>
            <w:r>
              <w:rPr>
                <w:sz w:val="24"/>
              </w:rPr>
              <w:t>1,1,2-</w:t>
            </w:r>
            <w:r>
              <w:rPr>
                <w:rFonts w:hint="eastAsia"/>
                <w:sz w:val="24"/>
              </w:rPr>
              <w:t>三氯乙烷、三氯乙烯、</w:t>
            </w:r>
            <w:r>
              <w:rPr>
                <w:sz w:val="24"/>
              </w:rPr>
              <w:t>1,2,3-</w:t>
            </w:r>
            <w:r>
              <w:rPr>
                <w:rFonts w:hint="eastAsia"/>
                <w:sz w:val="24"/>
              </w:rPr>
              <w:t>三氯丙烷、氯乙烯、苯、氯苯、</w:t>
            </w:r>
            <w:r>
              <w:rPr>
                <w:sz w:val="24"/>
              </w:rPr>
              <w:t>1,2-</w:t>
            </w:r>
            <w:r>
              <w:rPr>
                <w:rFonts w:hint="eastAsia"/>
                <w:sz w:val="24"/>
              </w:rPr>
              <w:t>二氯苯、</w:t>
            </w:r>
            <w:r>
              <w:rPr>
                <w:sz w:val="24"/>
              </w:rPr>
              <w:t>1,4-</w:t>
            </w:r>
            <w:r>
              <w:rPr>
                <w:rFonts w:hint="eastAsia"/>
                <w:sz w:val="24"/>
              </w:rPr>
              <w:t>二氯苯、乙苯、苯乙烯、甲苯、间二甲苯</w:t>
            </w:r>
            <w:r>
              <w:rPr>
                <w:sz w:val="24"/>
              </w:rPr>
              <w:t>+</w:t>
            </w:r>
            <w:r>
              <w:rPr>
                <w:rFonts w:hint="eastAsia"/>
                <w:sz w:val="24"/>
              </w:rPr>
              <w:t>对二甲苯、邻二甲苯、硝基苯、苯胺、</w:t>
            </w:r>
            <w:r>
              <w:rPr>
                <w:sz w:val="24"/>
              </w:rPr>
              <w:t>2-</w:t>
            </w:r>
            <w:r>
              <w:rPr>
                <w:rFonts w:hint="eastAsia"/>
                <w:sz w:val="24"/>
              </w:rPr>
              <w:t>氯酚、苯并</w:t>
            </w:r>
            <w:r>
              <w:rPr>
                <w:sz w:val="24"/>
              </w:rPr>
              <w:t>[a]</w:t>
            </w:r>
            <w:r>
              <w:rPr>
                <w:rFonts w:hint="eastAsia"/>
                <w:sz w:val="24"/>
              </w:rPr>
              <w:t>蒽、苯并</w:t>
            </w:r>
            <w:r>
              <w:rPr>
                <w:sz w:val="24"/>
              </w:rPr>
              <w:t>[a]</w:t>
            </w:r>
            <w:r>
              <w:rPr>
                <w:rFonts w:hint="eastAsia"/>
                <w:sz w:val="24"/>
              </w:rPr>
              <w:t>芘、苯并</w:t>
            </w:r>
            <w:r>
              <w:rPr>
                <w:sz w:val="24"/>
              </w:rPr>
              <w:t>[b]</w:t>
            </w:r>
            <w:r>
              <w:rPr>
                <w:rFonts w:hint="eastAsia"/>
                <w:sz w:val="24"/>
              </w:rPr>
              <w:t>荧蒽、苯并</w:t>
            </w:r>
            <w:r>
              <w:rPr>
                <w:sz w:val="24"/>
              </w:rPr>
              <w:t>[k]</w:t>
            </w:r>
            <w:r>
              <w:rPr>
                <w:rFonts w:hint="eastAsia"/>
                <w:sz w:val="24"/>
              </w:rPr>
              <w:t>荧蒽、䓛、二苯并[a,h]蒽、茚并[1,2,3-cd]芘、萘、石油烃共46项。</w:t>
            </w:r>
          </w:p>
          <w:p>
            <w:pPr>
              <w:adjustRightInd w:val="0"/>
              <w:snapToGrid w:val="0"/>
              <w:spacing w:line="360" w:lineRule="auto"/>
              <w:ind w:firstLine="482" w:firstLineChars="200"/>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（3）监测单位及时间</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sz w:val="24"/>
              </w:rPr>
              <w:t>监测单位：</w:t>
            </w:r>
            <w:r>
              <w:rPr>
                <w:rFonts w:ascii="Times New Roman" w:hAnsi="Times New Roman" w:eastAsia="宋体" w:cs="Times New Roman"/>
                <w:sz w:val="24"/>
              </w:rPr>
              <w:t>吉林省港湾检测有限责任公司；</w:t>
            </w: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监测时间：</w:t>
            </w:r>
            <w:r>
              <w:rPr>
                <w:rFonts w:ascii="Times New Roman" w:hAnsi="Times New Roman" w:eastAsia="宋体" w:cs="Times New Roman"/>
                <w:color w:val="000000"/>
                <w:sz w:val="24"/>
              </w:rPr>
              <w:t>2022年</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月2</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日。</w:t>
            </w:r>
          </w:p>
          <w:p>
            <w:pPr>
              <w:spacing w:line="360" w:lineRule="auto"/>
              <w:ind w:firstLine="482" w:firstLineChars="200"/>
              <w:rPr>
                <w:rFonts w:ascii="Times New Roman" w:hAnsi="Times New Roman" w:eastAsia="宋体" w:cs="Times New Roman"/>
                <w:b/>
                <w:bCs/>
                <w:snapToGrid w:val="0"/>
                <w:color w:val="000000"/>
                <w:sz w:val="24"/>
              </w:rPr>
            </w:pPr>
            <w:r>
              <w:rPr>
                <w:rFonts w:ascii="Times New Roman" w:hAnsi="Times New Roman" w:eastAsia="宋体" w:cs="Times New Roman"/>
                <w:b/>
                <w:bCs/>
                <w:snapToGrid w:val="0"/>
                <w:color w:val="000000"/>
                <w:sz w:val="24"/>
              </w:rPr>
              <w:t>（4）评价方法</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color w:val="000000"/>
                <w:sz w:val="24"/>
              </w:rPr>
              <w:t>土壤环境质量现状评价采用单项标准指数法，其数学模式如下：</w:t>
            </w:r>
          </w:p>
          <w:p>
            <w:pPr>
              <w:spacing w:line="360" w:lineRule="auto"/>
              <w:ind w:firstLine="480" w:firstLineChars="200"/>
              <w:rPr>
                <w:rFonts w:ascii="Times New Roman" w:hAnsi="Times New Roman" w:eastAsia="宋体" w:cs="Times New Roman"/>
                <w:i/>
                <w:snapToGrid w:val="0"/>
                <w:color w:val="000000"/>
                <w:sz w:val="24"/>
              </w:rPr>
            </w:pPr>
            <w:r>
              <w:rPr>
                <w:rFonts w:ascii="Times New Roman" w:hAnsi="Times New Roman" w:eastAsia="宋体" w:cs="Times New Roman"/>
                <w:snapToGrid w:val="0"/>
                <w:color w:val="000000"/>
                <w:sz w:val="24"/>
              </w:rPr>
              <w:t xml:space="preserve">计算公式如下：     </w:t>
            </w:r>
          </w:p>
          <w:p>
            <w:pPr>
              <w:spacing w:line="360" w:lineRule="auto"/>
              <w:ind w:firstLine="1800" w:firstLineChars="750"/>
              <w:rPr>
                <w:rFonts w:ascii="Times New Roman" w:hAnsi="Times New Roman" w:eastAsia="宋体" w:cs="Times New Roman"/>
                <w:snapToGrid w:val="0"/>
                <w:color w:val="000000"/>
                <w:sz w:val="24"/>
                <w:vertAlign w:val="subscript"/>
              </w:rPr>
            </w:pPr>
            <w:r>
              <w:rPr>
                <w:rFonts w:ascii="Times New Roman" w:hAnsi="Times New Roman" w:eastAsia="宋体" w:cs="Times New Roman"/>
                <w:snapToGrid w:val="0"/>
                <w:color w:val="000000"/>
                <w:sz w:val="24"/>
              </w:rPr>
              <w:t>P</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=C</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/S</w:t>
            </w:r>
            <w:r>
              <w:rPr>
                <w:rFonts w:ascii="Times New Roman" w:hAnsi="Times New Roman" w:eastAsia="宋体" w:cs="Times New Roman"/>
                <w:snapToGrid w:val="0"/>
                <w:color w:val="000000"/>
                <w:sz w:val="24"/>
                <w:vertAlign w:val="subscript"/>
              </w:rPr>
              <w:t>i</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式中：P</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—第i种污染物的污染指数；</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 xml:space="preserve">      C</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—第i种污染物的实测浓度，mg/kg；</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 xml:space="preserve">      S</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—第i种污染物的评价标准，mg/kg。</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P</w:t>
            </w:r>
            <w:r>
              <w:rPr>
                <w:rFonts w:ascii="Times New Roman" w:hAnsi="Times New Roman" w:eastAsia="宋体" w:cs="Times New Roman"/>
                <w:snapToGrid w:val="0"/>
                <w:color w:val="000000"/>
                <w:sz w:val="24"/>
                <w:vertAlign w:val="subscript"/>
              </w:rPr>
              <w:t>i</w:t>
            </w:r>
            <w:r>
              <w:rPr>
                <w:rFonts w:ascii="Times New Roman" w:hAnsi="Times New Roman" w:eastAsia="宋体" w:cs="Times New Roman"/>
                <w:snapToGrid w:val="0"/>
                <w:color w:val="000000"/>
                <w:sz w:val="24"/>
              </w:rPr>
              <w:t>＞1，则不能满足标准要求，反之则满足标准要求。</w:t>
            </w:r>
          </w:p>
          <w:p>
            <w:pPr>
              <w:spacing w:line="360" w:lineRule="auto"/>
              <w:ind w:firstLine="482" w:firstLineChars="200"/>
              <w:rPr>
                <w:rFonts w:ascii="Times New Roman" w:hAnsi="Times New Roman" w:eastAsia="宋体" w:cs="Times New Roman"/>
                <w:b/>
                <w:iCs/>
                <w:snapToGrid w:val="0"/>
                <w:color w:val="000000"/>
                <w:sz w:val="24"/>
              </w:rPr>
            </w:pPr>
            <w:r>
              <w:rPr>
                <w:rFonts w:ascii="Times New Roman" w:hAnsi="Times New Roman" w:eastAsia="宋体" w:cs="Times New Roman"/>
                <w:b/>
                <w:iCs/>
                <w:snapToGrid w:val="0"/>
                <w:color w:val="000000"/>
                <w:sz w:val="24"/>
              </w:rPr>
              <w:t>（5）评价标准</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区域土壤环境执行</w:t>
            </w:r>
            <w:r>
              <w:rPr>
                <w:rFonts w:ascii="Times New Roman" w:hAnsi="Times New Roman" w:cs="Times New Roman"/>
                <w:sz w:val="24"/>
              </w:rPr>
              <w:t>《</w:t>
            </w:r>
            <w:r>
              <w:rPr>
                <w:rFonts w:hint="eastAsia" w:ascii="Times New Roman" w:hAnsi="Times New Roman" w:cs="Times New Roman"/>
                <w:sz w:val="24"/>
              </w:rPr>
              <w:t>土壤环境质量 建设用地土壤污染风险管控标准（试行）</w:t>
            </w:r>
            <w:r>
              <w:rPr>
                <w:rFonts w:ascii="Times New Roman" w:hAnsi="Times New Roman" w:cs="Times New Roman"/>
                <w:sz w:val="24"/>
              </w:rPr>
              <w:t>》（GB36600-2018）</w:t>
            </w:r>
            <w:r>
              <w:rPr>
                <w:rFonts w:ascii="Times New Roman" w:hAnsi="Times New Roman" w:eastAsia="宋体" w:cs="Times New Roman"/>
                <w:snapToGrid w:val="0"/>
                <w:color w:val="000000"/>
                <w:sz w:val="24"/>
              </w:rPr>
              <w:t>中二级标准。</w:t>
            </w:r>
          </w:p>
          <w:p>
            <w:pPr>
              <w:numPr>
                <w:ilvl w:val="0"/>
                <w:numId w:val="6"/>
              </w:numPr>
              <w:spacing w:line="360" w:lineRule="auto"/>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snapToGrid w:val="0"/>
                <w:color w:val="000000"/>
                <w:sz w:val="24"/>
              </w:rPr>
              <w:t>评价结果</w:t>
            </w:r>
          </w:p>
          <w:p>
            <w:pPr>
              <w:spacing w:line="360" w:lineRule="auto"/>
              <w:ind w:firstLine="480" w:firstLineChars="200"/>
              <w:rPr>
                <w:rFonts w:ascii="Times New Roman" w:hAnsi="Times New Roman" w:eastAsia="宋体" w:cs="Times New Roman"/>
                <w:snapToGrid w:val="0"/>
                <w:color w:val="000000"/>
                <w:sz w:val="24"/>
              </w:rPr>
            </w:pPr>
            <w:r>
              <w:rPr>
                <w:rFonts w:ascii="Times New Roman" w:hAnsi="Times New Roman" w:eastAsia="宋体" w:cs="Times New Roman"/>
                <w:snapToGrid w:val="0"/>
                <w:color w:val="000000"/>
                <w:sz w:val="24"/>
              </w:rPr>
              <w:t>根据现状监测结果及评价标准得到的监测及评价结果分别见表</w:t>
            </w:r>
            <w:r>
              <w:rPr>
                <w:rFonts w:hint="eastAsia" w:ascii="Times New Roman" w:hAnsi="Times New Roman" w:eastAsia="宋体" w:cs="Times New Roman"/>
                <w:snapToGrid w:val="0"/>
                <w:color w:val="000000"/>
                <w:sz w:val="24"/>
              </w:rPr>
              <w:t>2</w:t>
            </w:r>
            <w:r>
              <w:rPr>
                <w:rFonts w:hint="eastAsia" w:ascii="Times New Roman" w:hAnsi="Times New Roman" w:eastAsia="宋体" w:cs="Times New Roman"/>
                <w:snapToGrid w:val="0"/>
                <w:color w:val="000000"/>
                <w:sz w:val="24"/>
                <w:lang w:val="en-US" w:eastAsia="zh-CN"/>
              </w:rPr>
              <w:t>4</w:t>
            </w:r>
            <w:r>
              <w:rPr>
                <w:rFonts w:ascii="Times New Roman" w:hAnsi="Times New Roman" w:eastAsia="宋体" w:cs="Times New Roman"/>
                <w:snapToGrid w:val="0"/>
                <w:color w:val="000000"/>
                <w:sz w:val="24"/>
              </w:rPr>
              <w:t>。</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pPr>
          </w:p>
          <w:p>
            <w:pPr>
              <w:pStyle w:val="33"/>
              <w:numPr>
                <w:ilvl w:val="0"/>
                <w:numId w:val="0"/>
              </w:numPr>
              <w:spacing w:line="360" w:lineRule="auto"/>
              <w:rPr>
                <w:rFonts w:hint="eastAsia" w:ascii="宋体" w:hAnsi="宋体" w:eastAsia="宋体" w:cs="宋体"/>
                <w:bCs/>
                <w:sz w:val="24"/>
                <w:szCs w:val="24"/>
              </w:rPr>
            </w:pPr>
            <w:r>
              <w:rPr>
                <w:rFonts w:hint="eastAsia" w:ascii="宋体" w:hAnsi="宋体" w:eastAsia="宋体" w:cs="宋体"/>
                <w:bCs/>
                <w:sz w:val="24"/>
                <w:szCs w:val="24"/>
              </w:rPr>
              <w:t>表2</w:t>
            </w:r>
            <w:r>
              <w:rPr>
                <w:rFonts w:hint="eastAsia" w:ascii="宋体" w:hAnsi="宋体" w:cs="宋体"/>
                <w:bCs/>
                <w:sz w:val="24"/>
                <w:szCs w:val="24"/>
                <w:lang w:val="en-US" w:eastAsia="zh-CN"/>
              </w:rPr>
              <w:t>4</w:t>
            </w:r>
            <w:r>
              <w:rPr>
                <w:rFonts w:hint="eastAsia" w:ascii="宋体" w:hAnsi="宋体" w:eastAsia="宋体" w:cs="宋体"/>
                <w:bCs/>
                <w:sz w:val="24"/>
                <w:szCs w:val="24"/>
              </w:rPr>
              <w:t xml:space="preserve">  土壤现状监测结果</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988"/>
              <w:gridCol w:w="1129"/>
              <w:gridCol w:w="1077"/>
              <w:gridCol w:w="1020"/>
              <w:gridCol w:w="1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项目点位</w:t>
                  </w:r>
                </w:p>
              </w:tc>
              <w:tc>
                <w:tcPr>
                  <w:tcW w:w="635" w:type="pct"/>
                  <w:noWrap/>
                  <w:vAlign w:val="center"/>
                </w:tcPr>
                <w:p>
                  <w:pPr>
                    <w:jc w:val="center"/>
                    <w:rPr>
                      <w:rFonts w:ascii="Times New Roman" w:hAnsi="Times New Roman" w:eastAsia="宋体" w:cs="Times New Roman"/>
                      <w:b/>
                      <w:bCs/>
                      <w:szCs w:val="21"/>
                    </w:rPr>
                  </w:pPr>
                  <w:r>
                    <w:rPr>
                      <w:rStyle w:val="30"/>
                      <w:rFonts w:ascii="Times New Roman" w:hAnsi="Times New Roman" w:eastAsia="宋体" w:cs="Times New Roman"/>
                      <w:b/>
                      <w:bCs/>
                    </w:rPr>
                    <w:t>生产车间附近</w:t>
                  </w:r>
                </w:p>
              </w:tc>
              <w:tc>
                <w:tcPr>
                  <w:tcW w:w="726"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c>
                <w:tcPr>
                  <w:tcW w:w="693" w:type="pct"/>
                  <w:noWrap/>
                  <w:vAlign w:val="center"/>
                </w:tcPr>
                <w:p>
                  <w:pPr>
                    <w:jc w:val="center"/>
                    <w:rPr>
                      <w:rStyle w:val="30"/>
                      <w:rFonts w:ascii="Times New Roman" w:hAnsi="Times New Roman" w:eastAsia="宋体" w:cs="Times New Roman"/>
                      <w:b/>
                      <w:bCs/>
                    </w:rPr>
                  </w:pPr>
                  <w:r>
                    <w:rPr>
                      <w:rStyle w:val="30"/>
                      <w:rFonts w:hint="eastAsia" w:ascii="Times New Roman" w:hAnsi="Times New Roman" w:eastAsia="宋体" w:cs="Times New Roman"/>
                      <w:b/>
                      <w:bCs/>
                    </w:rPr>
                    <w:t>是否达标</w:t>
                  </w:r>
                </w:p>
              </w:tc>
              <w:tc>
                <w:tcPr>
                  <w:tcW w:w="656"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筛选值</w:t>
                  </w:r>
                </w:p>
              </w:tc>
              <w:tc>
                <w:tcPr>
                  <w:tcW w:w="714" w:type="pct"/>
                  <w:noWrap/>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管制值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石油烃</w:t>
                  </w:r>
                </w:p>
              </w:tc>
              <w:tc>
                <w:tcPr>
                  <w:tcW w:w="635" w:type="pct"/>
                  <w:noWrap/>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rPr>
                    <w:t>25</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4500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8.96</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镉</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0.25</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铬（六价）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未检出</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5.7</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铜</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40</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18000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铅</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25.4</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汞</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0.052</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镍</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38</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四氯化碳</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氯仿</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0.9</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氯甲烷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37</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二氯乙烷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二氯乙烷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二氯乙烯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66</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顺</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二氯乙烯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596</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反</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二氯乙烯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二氯甲烷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616</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二氯丙烷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四氯乙烷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四氯乙烷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四氯乙烯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三氯乙烷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840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三氯乙烷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三氯乙烯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三氯丙烷</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0.43</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1.6(L)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氯苯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1.1(L)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二氯苯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1.0(L)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二氯苯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乙苯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苯乙烯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1.6(L)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1290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甲苯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2.0(L)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1200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间二甲苯+对二甲苯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3.6(L)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570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邻二甲苯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1.3(L)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640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硝基苯</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0.09(L)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76</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苯胺</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氯酚</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0.06(L)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2256</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苯并[a]蒽</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0.12(L)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苯并[a]芘</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0.17(L)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苯并[b]荧蒽</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0.17(L)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苯并[k]荧蒽</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0.11(L)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151</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䓛</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0.14(L)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1293</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二苯并[a，h]蒽</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茚并[1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3-cd]芘</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0.13(L)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jc w:val="center"/>
                    <w:rPr>
                      <w:rFonts w:ascii="Times New Roman" w:hAnsi="Times New Roman" w:eastAsia="宋体" w:cs="Times New Roman"/>
                      <w:color w:val="000000"/>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1573"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萘</w:t>
                  </w:r>
                </w:p>
              </w:tc>
              <w:tc>
                <w:tcPr>
                  <w:tcW w:w="635" w:type="pct"/>
                  <w:noWrap/>
                  <w:vAlign w:val="center"/>
                </w:tcPr>
                <w:p>
                  <w:pPr>
                    <w:widowControl/>
                    <w:adjustRightInd w:val="0"/>
                    <w:snapToGrid w:val="0"/>
                    <w:jc w:val="center"/>
                    <w:rPr>
                      <w:rFonts w:ascii="Times New Roman" w:hAnsi="Times New Roman" w:eastAsia="宋体" w:cs="Times New Roman"/>
                      <w:color w:val="000000"/>
                      <w:szCs w:val="21"/>
                    </w:rPr>
                  </w:pPr>
                  <w:r>
                    <w:rPr>
                      <w:rFonts w:ascii="Times New Roman" w:hAnsi="Times New Roman" w:cs="Times New Roman"/>
                      <w:kern w:val="0"/>
                      <w:szCs w:val="21"/>
                    </w:rPr>
                    <w:t>0.09(L)</w:t>
                  </w:r>
                </w:p>
              </w:tc>
              <w:tc>
                <w:tcPr>
                  <w:tcW w:w="72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mg/kg</w:t>
                  </w:r>
                </w:p>
              </w:tc>
              <w:tc>
                <w:tcPr>
                  <w:tcW w:w="693" w:type="pct"/>
                  <w:noWrap/>
                  <w:vAlign w:val="center"/>
                </w:tcPr>
                <w:p>
                  <w:pPr>
                    <w:widowControl/>
                    <w:adjustRightInd w:val="0"/>
                    <w:snapToGrid w:val="0"/>
                    <w:jc w:val="center"/>
                    <w:rPr>
                      <w:rFonts w:ascii="Times New Roman" w:hAnsi="Times New Roman" w:cs="Times New Roman"/>
                      <w:kern w:val="0"/>
                      <w:szCs w:val="21"/>
                    </w:rPr>
                  </w:pPr>
                  <w:r>
                    <w:rPr>
                      <w:rStyle w:val="30"/>
                      <w:rFonts w:hint="eastAsia" w:ascii="Times New Roman" w:hAnsi="Times New Roman" w:eastAsia="宋体" w:cs="Times New Roman"/>
                    </w:rPr>
                    <w:t>达标</w:t>
                  </w:r>
                </w:p>
              </w:tc>
              <w:tc>
                <w:tcPr>
                  <w:tcW w:w="656"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70</w:t>
                  </w:r>
                </w:p>
              </w:tc>
              <w:tc>
                <w:tcPr>
                  <w:tcW w:w="714" w:type="pct"/>
                  <w:noWrap/>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700</w:t>
                  </w:r>
                </w:p>
              </w:tc>
            </w:tr>
          </w:tbl>
          <w:p>
            <w:pPr>
              <w:spacing w:line="360" w:lineRule="auto"/>
              <w:ind w:firstLine="480" w:firstLineChars="200"/>
              <w:outlineLvl w:val="2"/>
              <w:rPr>
                <w:sz w:val="24"/>
              </w:rPr>
            </w:pPr>
            <w:r>
              <w:rPr>
                <w:rFonts w:ascii="Times New Roman" w:hAnsi="Times New Roman" w:cs="Times New Roman"/>
                <w:sz w:val="24"/>
              </w:rPr>
              <w:t>由表</w:t>
            </w:r>
            <w:r>
              <w:rPr>
                <w:rFonts w:hint="eastAsia" w:ascii="Times New Roman" w:hAnsi="Times New Roman" w:cs="Times New Roman"/>
                <w:sz w:val="24"/>
              </w:rPr>
              <w:t>2</w:t>
            </w:r>
            <w:r>
              <w:rPr>
                <w:rFonts w:hint="eastAsia" w:ascii="Times New Roman" w:hAnsi="Times New Roman" w:cs="Times New Roman"/>
                <w:sz w:val="24"/>
                <w:lang w:val="en-US" w:eastAsia="zh-CN"/>
              </w:rPr>
              <w:t>4</w:t>
            </w:r>
            <w:r>
              <w:rPr>
                <w:rFonts w:ascii="Times New Roman" w:hAnsi="Times New Roman" w:cs="Times New Roman"/>
                <w:sz w:val="24"/>
              </w:rPr>
              <w:t>可知，各监测点的污染物指标均满足《</w:t>
            </w:r>
            <w:r>
              <w:rPr>
                <w:rFonts w:hint="eastAsia" w:ascii="Times New Roman" w:hAnsi="Times New Roman" w:cs="Times New Roman"/>
                <w:sz w:val="24"/>
              </w:rPr>
              <w:t>土壤环境质量 建设用地土壤污染风险管控标准（试行）</w:t>
            </w:r>
            <w:r>
              <w:rPr>
                <w:rFonts w:ascii="Times New Roman" w:hAnsi="Times New Roman" w:cs="Times New Roman"/>
                <w:sz w:val="24"/>
              </w:rPr>
              <w:t>》（GB36600-2018）中第二类用地</w:t>
            </w:r>
            <w:r>
              <w:rPr>
                <w:rFonts w:hint="eastAsia"/>
                <w:sz w:val="24"/>
              </w:rPr>
              <w:t>标准的筛选值要求，因此本项目区域内土壤环境质量良好。</w:t>
            </w:r>
          </w:p>
          <w:p>
            <w:pPr>
              <w:spacing w:line="360" w:lineRule="auto"/>
              <w:ind w:firstLine="482" w:firstLineChars="200"/>
              <w:outlineLvl w:val="2"/>
              <w:rPr>
                <w:b/>
                <w:sz w:val="24"/>
              </w:rPr>
            </w:pPr>
            <w:r>
              <w:rPr>
                <w:rFonts w:hint="eastAsia"/>
                <w:b/>
                <w:sz w:val="24"/>
              </w:rPr>
              <w:t>6、电磁辐射</w:t>
            </w:r>
          </w:p>
          <w:p>
            <w:pPr>
              <w:spacing w:line="360" w:lineRule="auto"/>
              <w:ind w:firstLine="480" w:firstLineChars="200"/>
              <w:outlineLvl w:val="2"/>
              <w:rPr>
                <w:sz w:val="24"/>
              </w:rPr>
            </w:pPr>
            <w:r>
              <w:rPr>
                <w:sz w:val="24"/>
              </w:rPr>
              <w:t>本项目不涉及电磁辐射</w:t>
            </w:r>
            <w:r>
              <w:rPr>
                <w:rFonts w:hint="eastAsia"/>
                <w:sz w:val="24"/>
              </w:rPr>
              <w:t>。</w:t>
            </w:r>
          </w:p>
          <w:p>
            <w:pPr>
              <w:spacing w:line="360" w:lineRule="auto"/>
              <w:ind w:firstLine="482" w:firstLineChars="200"/>
              <w:outlineLvl w:val="2"/>
              <w:rPr>
                <w:b/>
                <w:sz w:val="24"/>
              </w:rPr>
            </w:pPr>
            <w:r>
              <w:rPr>
                <w:rFonts w:hint="eastAsia"/>
                <w:b/>
                <w:sz w:val="24"/>
              </w:rPr>
              <w:t>7、生态环境</w:t>
            </w:r>
          </w:p>
          <w:p>
            <w:pPr>
              <w:spacing w:line="360" w:lineRule="auto"/>
              <w:ind w:firstLine="480" w:firstLineChars="200"/>
              <w:outlineLvl w:val="2"/>
              <w:rPr>
                <w:rFonts w:ascii="宋体" w:hAnsi="宋体"/>
                <w:sz w:val="24"/>
              </w:rPr>
            </w:pPr>
            <w:r>
              <w:rPr>
                <w:rFonts w:hint="eastAsia" w:ascii="宋体" w:hAnsi="宋体"/>
                <w:sz w:val="24"/>
              </w:rPr>
              <w:t>根据《建设项目环境影响报告表编制技术指南（污染影响类）（试行）》相关要求，“产业园区外建设项目新增用地且用地范围内含有生态环境保护目标时，应进行生态现状调查。”</w:t>
            </w:r>
          </w:p>
          <w:p>
            <w:pPr>
              <w:spacing w:line="360" w:lineRule="auto"/>
              <w:ind w:firstLine="456" w:firstLineChars="200"/>
              <w:outlineLvl w:val="2"/>
              <w:rPr>
                <w:rFonts w:ascii="Times New Roman" w:hAnsi="Times New Roman" w:cs="Times New Roman"/>
                <w:color w:val="auto"/>
                <w:sz w:val="24"/>
                <w:szCs w:val="24"/>
              </w:rPr>
            </w:pPr>
            <w:r>
              <w:rPr>
                <w:rFonts w:hint="eastAsia" w:ascii="宋体" w:hAnsi="宋体"/>
                <w:spacing w:val="-6"/>
                <w:sz w:val="24"/>
              </w:rPr>
              <w:t>本项目位于</w:t>
            </w:r>
            <w:r>
              <w:rPr>
                <w:rFonts w:ascii="宋体" w:hAnsi="宋体"/>
                <w:spacing w:val="-6"/>
                <w:sz w:val="24"/>
              </w:rPr>
              <w:t>白城</w:t>
            </w:r>
            <w:r>
              <w:rPr>
                <w:rFonts w:hint="eastAsia" w:ascii="宋体" w:hAnsi="宋体"/>
                <w:spacing w:val="-6"/>
                <w:sz w:val="24"/>
              </w:rPr>
              <w:t>工业园区东海路北99号，本项目占地为工业用地，</w:t>
            </w:r>
            <w:r>
              <w:rPr>
                <w:rFonts w:hint="eastAsia" w:ascii="宋体" w:hAnsi="宋体"/>
                <w:spacing w:val="-6"/>
                <w:sz w:val="24"/>
                <w:lang w:eastAsia="zh-CN"/>
              </w:rPr>
              <w:t>利用现有厂房进行生产，</w:t>
            </w:r>
            <w:r>
              <w:rPr>
                <w:rFonts w:hint="eastAsia" w:ascii="宋体" w:hAnsi="宋体"/>
                <w:spacing w:val="-6"/>
                <w:sz w:val="24"/>
              </w:rPr>
              <w:t>不新</w:t>
            </w:r>
            <w:r>
              <w:rPr>
                <w:rFonts w:hint="eastAsia" w:ascii="宋体" w:hAnsi="宋体"/>
                <w:sz w:val="24"/>
              </w:rPr>
              <w:t>增用地范围，故本次未进行生态环境调查。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9" w:hRule="atLeast"/>
        </w:trPr>
        <w:tc>
          <w:tcPr>
            <w:tcW w:w="730" w:type="dxa"/>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 w:val="24"/>
              </w:rPr>
              <w:t>环境保护目标</w:t>
            </w:r>
          </w:p>
        </w:tc>
        <w:tc>
          <w:tcPr>
            <w:tcW w:w="7990" w:type="dxa"/>
          </w:tcPr>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项目所在地及周围没有自然保护区、风景名胜区、生活饮用水水源保护区、森林公园、文物保护等需要特别保护的生态敏感目标。本项目主要环境保护目标详见下表</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val="en-US" w:eastAsia="zh-CN"/>
              </w:rPr>
              <w:t>5</w:t>
            </w:r>
            <w:r>
              <w:rPr>
                <w:rFonts w:ascii="Times New Roman" w:hAnsi="Times New Roman" w:eastAsia="宋体" w:cs="Times New Roman"/>
                <w:kern w:val="0"/>
                <w:sz w:val="24"/>
              </w:rPr>
              <w:t>。</w:t>
            </w:r>
          </w:p>
          <w:p>
            <w:pPr>
              <w:spacing w:line="360" w:lineRule="auto"/>
              <w:jc w:val="center"/>
              <w:rPr>
                <w:rFonts w:ascii="Times New Roman" w:hAnsi="Times New Roman" w:eastAsia="宋体" w:cs="Times New Roman"/>
                <w:bCs/>
              </w:rPr>
            </w:pPr>
            <w:r>
              <w:rPr>
                <w:rFonts w:hint="eastAsia" w:ascii="Times New Roman" w:hAnsi="Times New Roman" w:eastAsia="宋体" w:cs="Times New Roman"/>
                <w:b/>
                <w:bCs/>
                <w:kern w:val="0"/>
                <w:sz w:val="24"/>
              </w:rPr>
              <w:t>表2</w:t>
            </w:r>
            <w:r>
              <w:rPr>
                <w:rFonts w:hint="eastAsia" w:ascii="Times New Roman" w:hAnsi="Times New Roman" w:eastAsia="宋体" w:cs="Times New Roman"/>
                <w:b/>
                <w:bCs/>
                <w:kern w:val="0"/>
                <w:sz w:val="24"/>
                <w:lang w:val="en-US" w:eastAsia="zh-CN"/>
              </w:rPr>
              <w:t xml:space="preserve">5  </w:t>
            </w:r>
            <w:r>
              <w:rPr>
                <w:rFonts w:ascii="Times New Roman" w:hAnsi="Times New Roman" w:eastAsia="宋体" w:cs="Times New Roman"/>
                <w:b/>
                <w:bCs/>
                <w:sz w:val="24"/>
              </w:rPr>
              <w:t>环境保护目标一览表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642"/>
              <w:gridCol w:w="745"/>
              <w:gridCol w:w="1527"/>
              <w:gridCol w:w="877"/>
              <w:gridCol w:w="916"/>
              <w:gridCol w:w="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73"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环境</w:t>
                  </w:r>
                </w:p>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要素</w:t>
                  </w:r>
                </w:p>
              </w:tc>
              <w:tc>
                <w:tcPr>
                  <w:tcW w:w="1056"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环境保护目标</w:t>
                  </w:r>
                </w:p>
              </w:tc>
              <w:tc>
                <w:tcPr>
                  <w:tcW w:w="479"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保护对象</w:t>
                  </w:r>
                </w:p>
              </w:tc>
              <w:tc>
                <w:tcPr>
                  <w:tcW w:w="982"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保护内容</w:t>
                  </w:r>
                </w:p>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户/人</w:t>
                  </w:r>
                </w:p>
              </w:tc>
              <w:tc>
                <w:tcPr>
                  <w:tcW w:w="564"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环境</w:t>
                  </w:r>
                </w:p>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功能区</w:t>
                  </w:r>
                </w:p>
              </w:tc>
              <w:tc>
                <w:tcPr>
                  <w:tcW w:w="589"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相对厂址方向</w:t>
                  </w:r>
                </w:p>
              </w:tc>
              <w:tc>
                <w:tcPr>
                  <w:tcW w:w="555"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3" w:type="pct"/>
                  <w:vMerge w:val="restart"/>
                  <w:tcBorders>
                    <w:tl2br w:val="nil"/>
                    <w:tr2bl w:val="nil"/>
                  </w:tcBorders>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环境空气</w:t>
                  </w:r>
                </w:p>
              </w:tc>
              <w:tc>
                <w:tcPr>
                  <w:tcW w:w="1056"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华兴家园小区</w:t>
                  </w:r>
                </w:p>
              </w:tc>
              <w:tc>
                <w:tcPr>
                  <w:tcW w:w="479"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居民</w:t>
                  </w:r>
                </w:p>
              </w:tc>
              <w:tc>
                <w:tcPr>
                  <w:tcW w:w="982"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300</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w:t>
                  </w:r>
                  <w:r>
                    <w:rPr>
                      <w:rFonts w:hint="eastAsia" w:ascii="Times New Roman" w:hAnsi="Times New Roman" w:eastAsia="宋体" w:cs="Times New Roman"/>
                      <w:szCs w:val="21"/>
                    </w:rPr>
                    <w:t>0</w:t>
                  </w:r>
                </w:p>
              </w:tc>
              <w:tc>
                <w:tcPr>
                  <w:tcW w:w="56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二类区</w:t>
                  </w:r>
                </w:p>
              </w:tc>
              <w:tc>
                <w:tcPr>
                  <w:tcW w:w="589"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西侧</w:t>
                  </w:r>
                </w:p>
              </w:tc>
              <w:tc>
                <w:tcPr>
                  <w:tcW w:w="55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3" w:type="pct"/>
                  <w:vMerge w:val="continue"/>
                  <w:tcBorders>
                    <w:tl2br w:val="nil"/>
                    <w:tr2bl w:val="nil"/>
                  </w:tcBorders>
                  <w:vAlign w:val="center"/>
                </w:tcPr>
                <w:p>
                  <w:pPr>
                    <w:autoSpaceDE w:val="0"/>
                    <w:autoSpaceDN w:val="0"/>
                    <w:adjustRightInd w:val="0"/>
                    <w:snapToGrid w:val="0"/>
                    <w:jc w:val="center"/>
                    <w:rPr>
                      <w:rFonts w:ascii="Times New Roman" w:hAnsi="Times New Roman" w:eastAsia="宋体" w:cs="Times New Roman"/>
                      <w:kern w:val="0"/>
                      <w:szCs w:val="21"/>
                    </w:rPr>
                  </w:pPr>
                </w:p>
              </w:tc>
              <w:tc>
                <w:tcPr>
                  <w:tcW w:w="1056"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碧桂园小区</w:t>
                  </w:r>
                </w:p>
              </w:tc>
              <w:tc>
                <w:tcPr>
                  <w:tcW w:w="479"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居民</w:t>
                  </w:r>
                </w:p>
              </w:tc>
              <w:tc>
                <w:tcPr>
                  <w:tcW w:w="982"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350</w:t>
                  </w:r>
                  <w:r>
                    <w:rPr>
                      <w:rFonts w:ascii="Times New Roman" w:hAnsi="Times New Roman" w:eastAsia="宋体" w:cs="Times New Roman"/>
                      <w:szCs w:val="21"/>
                    </w:rPr>
                    <w:t>/</w:t>
                  </w:r>
                  <w:r>
                    <w:rPr>
                      <w:rFonts w:hint="eastAsia" w:ascii="Times New Roman" w:hAnsi="Times New Roman" w:eastAsia="宋体" w:cs="Times New Roman"/>
                      <w:szCs w:val="21"/>
                    </w:rPr>
                    <w:t>1100</w:t>
                  </w:r>
                </w:p>
              </w:tc>
              <w:tc>
                <w:tcPr>
                  <w:tcW w:w="56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二类区</w:t>
                  </w:r>
                </w:p>
              </w:tc>
              <w:tc>
                <w:tcPr>
                  <w:tcW w:w="589"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西南侧</w:t>
                  </w:r>
                </w:p>
              </w:tc>
              <w:tc>
                <w:tcPr>
                  <w:tcW w:w="55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05" w:hRule="atLeast"/>
                <w:jc w:val="center"/>
              </w:trPr>
              <w:tc>
                <w:tcPr>
                  <w:tcW w:w="773"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声环境</w:t>
                  </w:r>
                </w:p>
              </w:tc>
              <w:tc>
                <w:tcPr>
                  <w:tcW w:w="4226" w:type="pct"/>
                  <w:gridSpan w:val="6"/>
                  <w:tcBorders>
                    <w:tl2br w:val="nil"/>
                    <w:tr2bl w:val="nil"/>
                  </w:tcBorders>
                  <w:vAlign w:val="center"/>
                </w:tcPr>
                <w:p>
                  <w:pPr>
                    <w:adjustRightInd w:val="0"/>
                    <w:snapToGrid w:val="0"/>
                    <w:jc w:val="center"/>
                  </w:pPr>
                  <w:r>
                    <w:rPr>
                      <w:szCs w:val="21"/>
                    </w:rPr>
                    <w:t>本项目厂界外50m范围内无声环境保护目标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34" w:hRule="atLeast"/>
                <w:jc w:val="center"/>
              </w:trPr>
              <w:tc>
                <w:tcPr>
                  <w:tcW w:w="773"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b/>
                      <w:kern w:val="0"/>
                      <w:szCs w:val="21"/>
                    </w:rPr>
                  </w:pPr>
                  <w:r>
                    <w:rPr>
                      <w:rFonts w:ascii="Times New Roman" w:hAnsi="Times New Roman" w:eastAsia="宋体" w:cs="Times New Roman"/>
                      <w:kern w:val="0"/>
                      <w:szCs w:val="21"/>
                    </w:rPr>
                    <w:t>地下水</w:t>
                  </w:r>
                </w:p>
              </w:tc>
              <w:tc>
                <w:tcPr>
                  <w:tcW w:w="4226" w:type="pct"/>
                  <w:gridSpan w:val="6"/>
                  <w:tcBorders>
                    <w:tl2br w:val="nil"/>
                    <w:tr2bl w:val="nil"/>
                  </w:tcBorders>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厂界外500m范围内无地下水集中式饮用水源和热水、矿泉水、</w:t>
                  </w:r>
                </w:p>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温泉等特殊地下水资源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86" w:hRule="atLeast"/>
                <w:jc w:val="center"/>
              </w:trPr>
              <w:tc>
                <w:tcPr>
                  <w:tcW w:w="773" w:type="pct"/>
                  <w:tcBorders>
                    <w:tl2br w:val="nil"/>
                    <w:tr2bl w:val="nil"/>
                  </w:tcBorders>
                  <w:vAlign w:val="center"/>
                </w:tcPr>
                <w:p>
                  <w:pPr>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生态环境</w:t>
                  </w:r>
                </w:p>
              </w:tc>
              <w:tc>
                <w:tcPr>
                  <w:tcW w:w="4226" w:type="pct"/>
                  <w:gridSpan w:val="6"/>
                  <w:tcBorders>
                    <w:tl2br w:val="nil"/>
                    <w:tr2bl w:val="nil"/>
                  </w:tcBorders>
                  <w:vAlign w:val="center"/>
                </w:tcPr>
                <w:p>
                  <w:pPr>
                    <w:autoSpaceDE w:val="0"/>
                    <w:autoSpaceDN w:val="0"/>
                    <w:adjustRightInd w:val="0"/>
                    <w:snapToGrid w:val="0"/>
                    <w:jc w:val="center"/>
                    <w:rPr>
                      <w:rFonts w:ascii="Times New Roman" w:hAnsi="Times New Roman" w:eastAsia="宋体" w:cs="Times New Roman"/>
                      <w:b/>
                      <w:kern w:val="0"/>
                      <w:szCs w:val="21"/>
                    </w:rPr>
                  </w:pPr>
                  <w:r>
                    <w:rPr>
                      <w:rFonts w:ascii="Times New Roman" w:hAnsi="Times New Roman" w:eastAsia="宋体" w:cs="Times New Roman"/>
                      <w:szCs w:val="21"/>
                    </w:rPr>
                    <w:t>本项目占地范围内不存在生态环境保护目标</w:t>
                  </w:r>
                </w:p>
              </w:tc>
            </w:tr>
          </w:tbl>
          <w:p>
            <w:pPr>
              <w:spacing w:line="360" w:lineRule="auto"/>
              <w:ind w:firstLine="420" w:firstLineChars="200"/>
              <w:rPr>
                <w:rFonts w:ascii="Times New Roman" w:hAnsi="Times New Roman" w:eastAsia="宋体"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9" w:hRule="atLeast"/>
        </w:trPr>
        <w:tc>
          <w:tcPr>
            <w:tcW w:w="730" w:type="dxa"/>
            <w:vAlign w:val="center"/>
          </w:tcPr>
          <w:p>
            <w:pPr>
              <w:snapToGrid w:val="0"/>
              <w:spacing w:line="360" w:lineRule="auto"/>
              <w:jc w:val="center"/>
              <w:rPr>
                <w:rFonts w:ascii="Times New Roman" w:hAnsi="Times New Roman" w:eastAsia="宋体" w:cs="Times New Roman"/>
                <w:szCs w:val="21"/>
                <w:highlight w:val="yellow"/>
              </w:rPr>
            </w:pPr>
            <w:r>
              <w:rPr>
                <w:rFonts w:ascii="Times New Roman" w:hAnsi="Times New Roman" w:eastAsia="宋体" w:cs="Times New Roman"/>
                <w:sz w:val="24"/>
              </w:rPr>
              <w:t>污染物排放控制标准</w:t>
            </w:r>
          </w:p>
        </w:tc>
        <w:tc>
          <w:tcPr>
            <w:tcW w:w="7990" w:type="dxa"/>
          </w:tcPr>
          <w:p>
            <w:pPr>
              <w:keepNext w:val="0"/>
              <w:keepLines w:val="0"/>
              <w:pageBreakBefore w:val="0"/>
              <w:widowControl w:val="0"/>
              <w:kinsoku/>
              <w:wordWrap/>
              <w:overflowPunct/>
              <w:topLinePunct w:val="0"/>
              <w:autoSpaceDE/>
              <w:autoSpaceDN/>
              <w:bidi w:val="0"/>
              <w:adjustRightInd/>
              <w:snapToGrid/>
              <w:spacing w:line="100" w:lineRule="exact"/>
              <w:ind w:firstLine="482" w:firstLineChars="200"/>
              <w:textAlignment w:val="auto"/>
              <w:rPr>
                <w:rFonts w:ascii="Times New Roman" w:hAnsi="Times New Roman" w:cs="Times New Roman"/>
                <w:b/>
                <w:color w:val="000000" w:themeColor="text1"/>
                <w:sz w:val="24"/>
                <w:szCs w:val="20"/>
              </w:rPr>
            </w:pPr>
          </w:p>
          <w:p>
            <w:pPr>
              <w:spacing w:line="360" w:lineRule="auto"/>
              <w:ind w:firstLine="482" w:firstLineChars="200"/>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1、废水</w:t>
            </w:r>
          </w:p>
          <w:p>
            <w:pPr>
              <w:spacing w:line="360" w:lineRule="auto"/>
              <w:ind w:firstLine="482" w:firstLineChars="200"/>
              <w:rPr>
                <w:rFonts w:hint="eastAsia" w:ascii="Times New Roman" w:hAnsi="Times New Roman" w:cs="Times New Roman"/>
                <w:b/>
                <w:bCs/>
                <w:color w:val="000000" w:themeColor="text1"/>
                <w:sz w:val="24"/>
              </w:rPr>
            </w:pPr>
            <w:r>
              <w:rPr>
                <w:rFonts w:hint="eastAsia" w:ascii="Times New Roman" w:hAnsi="Times New Roman" w:cs="Times New Roman"/>
                <w:b/>
                <w:bCs/>
                <w:color w:val="000000" w:themeColor="text1"/>
                <w:sz w:val="24"/>
              </w:rPr>
              <w:t>（1）生活污水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本项目运营期产生的废水主要为职工生活污水</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排水通过市政管网排入白城市污水处理厂，应同时满足《污水综合排放标准》（GB8978-1996）中三级标准和白城市污水处理厂进水指标。废水经过污水厂处理后满足《城镇污水处理厂污染物排放标准》（GB18918—2002）一级 A 标准后排入东湖，排放标准详见下表。</w:t>
            </w:r>
          </w:p>
          <w:p>
            <w:pPr>
              <w:pStyle w:val="33"/>
              <w:numPr>
                <w:ilvl w:val="0"/>
                <w:numId w:val="0"/>
              </w:numPr>
              <w:spacing w:line="360" w:lineRule="auto"/>
              <w:rPr>
                <w:rFonts w:hint="eastAsia" w:ascii="Times New Roman" w:hAnsi="Times New Roman" w:eastAsia="宋体" w:cs="Times New Roman"/>
                <w:bCs/>
                <w:color w:val="000000" w:themeColor="text1"/>
                <w:sz w:val="24"/>
                <w:szCs w:val="24"/>
                <w:lang w:eastAsia="zh-CN"/>
              </w:rPr>
            </w:pPr>
            <w:r>
              <w:rPr>
                <w:rFonts w:hint="eastAsia" w:ascii="Times New Roman" w:hAnsi="Times New Roman" w:cs="Times New Roman"/>
                <w:bCs/>
                <w:color w:val="000000" w:themeColor="text1"/>
                <w:sz w:val="24"/>
                <w:szCs w:val="24"/>
              </w:rPr>
              <w:t>表2</w:t>
            </w:r>
            <w:r>
              <w:rPr>
                <w:rFonts w:hint="eastAsia" w:ascii="Times New Roman" w:hAnsi="Times New Roman" w:cs="Times New Roman"/>
                <w:bCs/>
                <w:color w:val="000000" w:themeColor="text1"/>
                <w:sz w:val="24"/>
                <w:szCs w:val="24"/>
                <w:lang w:val="en-US" w:eastAsia="zh-CN"/>
              </w:rPr>
              <w:t>6</w:t>
            </w:r>
            <w:r>
              <w:rPr>
                <w:rFonts w:hint="eastAsia" w:ascii="Times New Roman" w:hAnsi="Times New Roman" w:cs="Times New Roman"/>
                <w:bCs/>
                <w:color w:val="000000" w:themeColor="text1"/>
                <w:sz w:val="24"/>
                <w:szCs w:val="24"/>
              </w:rPr>
              <w:t xml:space="preserve">  </w:t>
            </w:r>
            <w:r>
              <w:rPr>
                <w:rFonts w:hint="eastAsia" w:ascii="Times New Roman" w:hAnsi="Times New Roman" w:cs="Times New Roman"/>
                <w:bCs/>
                <w:color w:val="000000" w:themeColor="text1"/>
                <w:sz w:val="24"/>
                <w:szCs w:val="24"/>
                <w:lang w:eastAsia="zh-CN"/>
              </w:rPr>
              <w:t>污水排放标准</w:t>
            </w:r>
          </w:p>
          <w:tbl>
            <w:tblPr>
              <w:tblStyle w:val="26"/>
              <w:tblW w:w="7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887"/>
              <w:gridCol w:w="1304"/>
              <w:gridCol w:w="147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076" w:type="dxa"/>
                  <w:tcBorders>
                    <w:top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序号</w:t>
                  </w:r>
                </w:p>
              </w:tc>
              <w:tc>
                <w:tcPr>
                  <w:tcW w:w="1887" w:type="dxa"/>
                  <w:tcBorders>
                    <w:top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基本控制项目</w:t>
                  </w:r>
                </w:p>
              </w:tc>
              <w:tc>
                <w:tcPr>
                  <w:tcW w:w="1304" w:type="dxa"/>
                  <w:tcBorders>
                    <w:top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单位</w:t>
                  </w:r>
                </w:p>
              </w:tc>
              <w:tc>
                <w:tcPr>
                  <w:tcW w:w="1472" w:type="dxa"/>
                  <w:tcBorders>
                    <w:top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标准值</w:t>
                  </w:r>
                </w:p>
              </w:tc>
              <w:tc>
                <w:tcPr>
                  <w:tcW w:w="2035" w:type="dxa"/>
                  <w:tcBorders>
                    <w:top w:val="single" w:color="auto" w:sz="12" w:space="0"/>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dxa"/>
                  <w:tcBorders>
                    <w:left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1</w:t>
                  </w:r>
                </w:p>
              </w:tc>
              <w:tc>
                <w:tcPr>
                  <w:tcW w:w="1887"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pH</w:t>
                  </w:r>
                </w:p>
              </w:tc>
              <w:tc>
                <w:tcPr>
                  <w:tcW w:w="1304"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无量纲</w:t>
                  </w:r>
                </w:p>
              </w:tc>
              <w:tc>
                <w:tcPr>
                  <w:tcW w:w="1472" w:type="dxa"/>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6-9</w:t>
                  </w:r>
                </w:p>
              </w:tc>
              <w:tc>
                <w:tcPr>
                  <w:tcW w:w="2035" w:type="dxa"/>
                  <w:vMerge w:val="restart"/>
                  <w:tcBorders>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《污水综合排放标准》 （GB8978-1996）中三级标准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76" w:type="dxa"/>
                  <w:tcBorders>
                    <w:left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2</w:t>
                  </w:r>
                </w:p>
              </w:tc>
              <w:tc>
                <w:tcPr>
                  <w:tcW w:w="1887"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COD</w:t>
                  </w:r>
                </w:p>
              </w:tc>
              <w:tc>
                <w:tcPr>
                  <w:tcW w:w="1304"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mg/L</w:t>
                  </w:r>
                </w:p>
              </w:tc>
              <w:tc>
                <w:tcPr>
                  <w:tcW w:w="1472" w:type="dxa"/>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500</w:t>
                  </w:r>
                </w:p>
              </w:tc>
              <w:tc>
                <w:tcPr>
                  <w:tcW w:w="2035" w:type="dxa"/>
                  <w:vMerge w:val="continue"/>
                  <w:tcBorders>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76" w:type="dxa"/>
                  <w:tcBorders>
                    <w:left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3</w:t>
                  </w:r>
                </w:p>
              </w:tc>
              <w:tc>
                <w:tcPr>
                  <w:tcW w:w="1887"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1304"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mg/L</w:t>
                  </w:r>
                </w:p>
              </w:tc>
              <w:tc>
                <w:tcPr>
                  <w:tcW w:w="1472" w:type="dxa"/>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300</w:t>
                  </w:r>
                </w:p>
              </w:tc>
              <w:tc>
                <w:tcPr>
                  <w:tcW w:w="2035" w:type="dxa"/>
                  <w:vMerge w:val="continue"/>
                  <w:tcBorders>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76" w:type="dxa"/>
                  <w:tcBorders>
                    <w:left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4</w:t>
                  </w:r>
                </w:p>
              </w:tc>
              <w:tc>
                <w:tcPr>
                  <w:tcW w:w="1887"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SS</w:t>
                  </w:r>
                </w:p>
              </w:tc>
              <w:tc>
                <w:tcPr>
                  <w:tcW w:w="1304" w:type="dxa"/>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mg/L</w:t>
                  </w:r>
                </w:p>
              </w:tc>
              <w:tc>
                <w:tcPr>
                  <w:tcW w:w="1472" w:type="dxa"/>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400</w:t>
                  </w:r>
                </w:p>
              </w:tc>
              <w:tc>
                <w:tcPr>
                  <w:tcW w:w="2035" w:type="dxa"/>
                  <w:vMerge w:val="continue"/>
                  <w:tcBorders>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76" w:type="dxa"/>
                  <w:tcBorders>
                    <w:left w:val="nil"/>
                    <w:bottom w:val="single" w:color="auto" w:sz="12" w:space="0"/>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5</w:t>
                  </w:r>
                </w:p>
              </w:tc>
              <w:tc>
                <w:tcPr>
                  <w:tcW w:w="1887" w:type="dxa"/>
                  <w:tcBorders>
                    <w:bottom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氨氮</w:t>
                  </w:r>
                </w:p>
              </w:tc>
              <w:tc>
                <w:tcPr>
                  <w:tcW w:w="1304" w:type="dxa"/>
                  <w:tcBorders>
                    <w:bottom w:val="single" w:color="auto" w:sz="12" w:space="0"/>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mg/L</w:t>
                  </w:r>
                </w:p>
              </w:tc>
              <w:tc>
                <w:tcPr>
                  <w:tcW w:w="1472" w:type="dxa"/>
                  <w:tcBorders>
                    <w:bottom w:val="single" w:color="auto" w:sz="12" w:space="0"/>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w:t>
                  </w:r>
                </w:p>
              </w:tc>
              <w:tc>
                <w:tcPr>
                  <w:tcW w:w="2035" w:type="dxa"/>
                  <w:vMerge w:val="continue"/>
                  <w:tcBorders>
                    <w:bottom w:val="single" w:color="auto" w:sz="12" w:space="0"/>
                    <w:right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ascii="Times New Roman" w:hAnsi="Times New Roman" w:cs="Times New Roman"/>
                <w:color w:val="000000" w:themeColor="text1"/>
                <w:sz w:val="24"/>
              </w:rPr>
            </w:pPr>
          </w:p>
          <w:p>
            <w:pPr>
              <w:pStyle w:val="33"/>
              <w:numPr>
                <w:ilvl w:val="0"/>
                <w:numId w:val="0"/>
              </w:numPr>
              <w:spacing w:line="360" w:lineRule="auto"/>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表2</w:t>
            </w:r>
            <w:r>
              <w:rPr>
                <w:rFonts w:hint="eastAsia" w:ascii="Times New Roman" w:hAnsi="Times New Roman" w:cs="Times New Roman"/>
                <w:bCs/>
                <w:color w:val="000000" w:themeColor="text1"/>
                <w:sz w:val="24"/>
                <w:szCs w:val="24"/>
                <w:lang w:val="en-US" w:eastAsia="zh-CN"/>
              </w:rPr>
              <w:t>7</w:t>
            </w:r>
            <w:r>
              <w:rPr>
                <w:rFonts w:hint="eastAsia"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白城市污水处理厂进水指标</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849"/>
              <w:gridCol w:w="3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序号</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污染物</w:t>
                  </w:r>
                </w:p>
              </w:tc>
              <w:tc>
                <w:tcPr>
                  <w:tcW w:w="2243"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浓度（mg/L）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pH</w:t>
                  </w:r>
                </w:p>
              </w:tc>
              <w:tc>
                <w:tcPr>
                  <w:tcW w:w="22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COD</w:t>
                  </w:r>
                </w:p>
              </w:tc>
              <w:tc>
                <w:tcPr>
                  <w:tcW w:w="22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BOD</w:t>
                  </w:r>
                  <w:r>
                    <w:rPr>
                      <w:rFonts w:ascii="Times New Roman" w:hAnsi="Times New Roman" w:eastAsia="宋体" w:cs="Times New Roman"/>
                      <w:color w:val="000000" w:themeColor="text1"/>
                      <w:szCs w:val="21"/>
                      <w:vertAlign w:val="subscript"/>
                    </w:rPr>
                    <w:t>5</w:t>
                  </w:r>
                </w:p>
              </w:tc>
              <w:tc>
                <w:tcPr>
                  <w:tcW w:w="22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NH</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-N</w:t>
                  </w:r>
                </w:p>
              </w:tc>
              <w:tc>
                <w:tcPr>
                  <w:tcW w:w="22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4" w:hRule="atLeast"/>
                <w:jc w:val="center"/>
              </w:trPr>
              <w:tc>
                <w:tcPr>
                  <w:tcW w:w="924"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Cs w:val="21"/>
                    </w:rPr>
                  </w:pPr>
                  <w:r>
                    <w:rPr>
                      <w:rFonts w:ascii="Times New Roman" w:hAnsi="Times New Roman" w:eastAsia="宋体" w:cs="Times New Roman"/>
                      <w:szCs w:val="21"/>
                    </w:rPr>
                    <w:t>5</w:t>
                  </w:r>
                </w:p>
              </w:tc>
              <w:tc>
                <w:tcPr>
                  <w:tcW w:w="1832" w:type="pct"/>
                  <w:tcBorders>
                    <w:tl2br w:val="nil"/>
                    <w:tr2bl w:val="nil"/>
                  </w:tcBorders>
                  <w:vAlign w:val="center"/>
                </w:tcPr>
                <w:p>
                  <w:pPr>
                    <w:keepNext w:val="0"/>
                    <w:keepLines w:val="0"/>
                    <w:pageBreakBefore w:val="0"/>
                    <w:widowControl w:val="0"/>
                    <w:tabs>
                      <w:tab w:val="left" w:pos="7740"/>
                    </w:tabs>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Cs w:val="21"/>
                    </w:rPr>
                  </w:pPr>
                  <w:r>
                    <w:rPr>
                      <w:rFonts w:ascii="Times New Roman" w:hAnsi="Times New Roman" w:eastAsia="宋体" w:cs="Times New Roman"/>
                      <w:szCs w:val="21"/>
                    </w:rPr>
                    <w:t>SS</w:t>
                  </w:r>
                </w:p>
              </w:tc>
              <w:tc>
                <w:tcPr>
                  <w:tcW w:w="22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Cs w:val="21"/>
                    </w:rPr>
                  </w:pPr>
                  <w:r>
                    <w:rPr>
                      <w:rFonts w:ascii="Times New Roman" w:hAnsi="Times New Roman" w:eastAsia="宋体" w:cs="Times New Roman"/>
                      <w:szCs w:val="21"/>
                    </w:rPr>
                    <w:t>460</w:t>
                  </w:r>
                </w:p>
              </w:tc>
            </w:tr>
          </w:tbl>
          <w:p>
            <w:pPr>
              <w:spacing w:line="360" w:lineRule="auto"/>
              <w:ind w:firstLine="482" w:firstLineChars="200"/>
              <w:rPr>
                <w:rFonts w:ascii="Times New Roman" w:hAnsi="Times New Roman" w:cs="Times New Roman"/>
                <w:b/>
                <w:bCs/>
                <w:color w:val="000000" w:themeColor="text1"/>
                <w:sz w:val="24"/>
              </w:rPr>
            </w:pPr>
            <w:r>
              <w:rPr>
                <w:rFonts w:hint="eastAsia" w:ascii="Times New Roman" w:hAnsi="Times New Roman" w:cs="Times New Roman"/>
                <w:b/>
                <w:bCs/>
                <w:color w:val="000000" w:themeColor="text1"/>
                <w:sz w:val="24"/>
              </w:rPr>
              <w:t>（2）清洗废水回用标准</w:t>
            </w:r>
          </w:p>
          <w:p>
            <w:pPr>
              <w:spacing w:line="360" w:lineRule="auto"/>
              <w:ind w:firstLine="480" w:firstLineChars="200"/>
              <w:rPr>
                <w:rFonts w:ascii="宋体" w:hAnsi="宋体"/>
                <w:bCs/>
                <w:sz w:val="24"/>
              </w:rPr>
            </w:pPr>
            <w:r>
              <w:rPr>
                <w:rFonts w:hint="eastAsia" w:ascii="宋体" w:hAnsi="宋体"/>
                <w:bCs/>
                <w:sz w:val="24"/>
              </w:rPr>
              <w:t>本项目清洗废水经处理后循环使用，不外排。废水回用标准执行《城市污水再生利用 工业用水水质》（GBT19923-2005）中洗涤用水标准，详见下表：</w:t>
            </w:r>
          </w:p>
          <w:p>
            <w:pPr>
              <w:pStyle w:val="33"/>
              <w:numPr>
                <w:ilvl w:val="0"/>
                <w:numId w:val="0"/>
              </w:numPr>
              <w:spacing w:line="360" w:lineRule="auto"/>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表</w:t>
            </w:r>
            <w:r>
              <w:rPr>
                <w:rFonts w:hint="eastAsia" w:ascii="Times New Roman" w:hAnsi="Times New Roman" w:cs="Times New Roman"/>
                <w:bCs/>
                <w:color w:val="000000" w:themeColor="text1"/>
                <w:sz w:val="24"/>
                <w:szCs w:val="24"/>
                <w:lang w:val="en-US" w:eastAsia="zh-CN"/>
              </w:rPr>
              <w:t>28</w:t>
            </w:r>
            <w:r>
              <w:rPr>
                <w:rFonts w:hint="eastAsia" w:ascii="Times New Roman" w:hAnsi="Times New Roman" w:cs="Times New Roman"/>
                <w:bCs/>
                <w:color w:val="000000" w:themeColor="text1"/>
                <w:sz w:val="24"/>
                <w:szCs w:val="24"/>
              </w:rPr>
              <w:t xml:space="preserve">  </w:t>
            </w:r>
            <w:r>
              <w:rPr>
                <w:rFonts w:hint="eastAsia" w:ascii="宋体" w:hAnsi="宋体"/>
                <w:bCs/>
                <w:sz w:val="24"/>
                <w:szCs w:val="24"/>
              </w:rPr>
              <w:t>城市污水再生利用工业用水水质标准</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75"/>
              <w:gridCol w:w="1313"/>
              <w:gridCol w:w="1415"/>
              <w:gridCol w:w="1110"/>
              <w:gridCol w:w="1110"/>
              <w:gridCol w:w="1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52" w:hRule="atLeast"/>
                <w:jc w:val="center"/>
              </w:trPr>
              <w:tc>
                <w:tcPr>
                  <w:tcW w:w="410" w:type="pct"/>
                  <w:vMerge w:val="restart"/>
                  <w:tcBorders>
                    <w:tl2br w:val="nil"/>
                    <w:tr2bl w:val="nil"/>
                  </w:tcBorders>
                  <w:vAlign w:val="center"/>
                </w:tcPr>
                <w:p>
                  <w:pPr>
                    <w:tabs>
                      <w:tab w:val="left" w:pos="7740"/>
                    </w:tabs>
                    <w:jc w:val="center"/>
                    <w:rPr>
                      <w:rFonts w:ascii="Times New Roman" w:hAnsi="Times New Roman" w:eastAsia="宋体" w:cs="Times New Roman"/>
                      <w:b/>
                      <w:bCs/>
                      <w:color w:val="000000" w:themeColor="text1"/>
                      <w:szCs w:val="21"/>
                    </w:rPr>
                  </w:pPr>
                  <w:r>
                    <w:rPr>
                      <w:rFonts w:hint="eastAsia" w:ascii="Times New Roman" w:hAnsi="Times New Roman" w:eastAsia="宋体" w:cs="Times New Roman"/>
                      <w:b/>
                      <w:bCs/>
                      <w:color w:val="000000" w:themeColor="text1"/>
                      <w:szCs w:val="21"/>
                    </w:rPr>
                    <w:t>序号</w:t>
                  </w:r>
                </w:p>
              </w:tc>
              <w:tc>
                <w:tcPr>
                  <w:tcW w:w="691" w:type="pct"/>
                  <w:vMerge w:val="restart"/>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控制项目</w:t>
                  </w:r>
                </w:p>
              </w:tc>
              <w:tc>
                <w:tcPr>
                  <w:tcW w:w="1753" w:type="pct"/>
                  <w:gridSpan w:val="2"/>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冷却用水</w:t>
                  </w:r>
                </w:p>
              </w:tc>
              <w:tc>
                <w:tcPr>
                  <w:tcW w:w="713" w:type="pct"/>
                  <w:vMerge w:val="restart"/>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洗涤用水</w:t>
                  </w:r>
                </w:p>
              </w:tc>
              <w:tc>
                <w:tcPr>
                  <w:tcW w:w="713" w:type="pct"/>
                  <w:vMerge w:val="restart"/>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锅炉用水</w:t>
                  </w:r>
                </w:p>
              </w:tc>
              <w:tc>
                <w:tcPr>
                  <w:tcW w:w="716" w:type="pct"/>
                  <w:vMerge w:val="restart"/>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工艺与产品用水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10" w:type="pct"/>
                  <w:vMerge w:val="continue"/>
                  <w:tcBorders>
                    <w:tl2br w:val="nil"/>
                    <w:tr2bl w:val="nil"/>
                  </w:tcBorders>
                  <w:vAlign w:val="center"/>
                </w:tcPr>
                <w:p>
                  <w:pPr>
                    <w:jc w:val="center"/>
                    <w:rPr>
                      <w:rFonts w:ascii="Times New Roman" w:hAnsi="Times New Roman" w:eastAsia="宋体" w:cs="Times New Roman"/>
                      <w:color w:val="000000" w:themeColor="text1"/>
                      <w:szCs w:val="21"/>
                    </w:rPr>
                  </w:pPr>
                </w:p>
              </w:tc>
              <w:tc>
                <w:tcPr>
                  <w:tcW w:w="691" w:type="pct"/>
                  <w:vMerge w:val="continue"/>
                  <w:tcBorders>
                    <w:tl2br w:val="nil"/>
                    <w:tr2bl w:val="nil"/>
                  </w:tcBorders>
                  <w:vAlign w:val="center"/>
                </w:tcPr>
                <w:p>
                  <w:pPr>
                    <w:jc w:val="center"/>
                    <w:rPr>
                      <w:rFonts w:ascii="Times New Roman" w:hAnsi="Times New Roman" w:eastAsia="宋体" w:cs="Times New Roman"/>
                      <w:color w:val="000000" w:themeColor="text1"/>
                      <w:szCs w:val="21"/>
                    </w:rPr>
                  </w:pPr>
                </w:p>
              </w:tc>
              <w:tc>
                <w:tcPr>
                  <w:tcW w:w="844" w:type="pct"/>
                  <w:tcBorders>
                    <w:tl2br w:val="nil"/>
                    <w:tr2bl w:val="nil"/>
                  </w:tcBorders>
                  <w:vAlign w:val="center"/>
                </w:tcPr>
                <w:p>
                  <w:pPr>
                    <w:jc w:val="center"/>
                    <w:rPr>
                      <w:rFonts w:ascii="Times New Roman" w:hAnsi="Times New Roman" w:eastAsia="宋体" w:cs="Times New Roman"/>
                      <w:b/>
                      <w:color w:val="000000" w:themeColor="text1"/>
                      <w:szCs w:val="21"/>
                    </w:rPr>
                  </w:pPr>
                  <w:r>
                    <w:rPr>
                      <w:rFonts w:hint="eastAsia" w:ascii="宋体" w:hAnsi="宋体"/>
                      <w:b/>
                      <w:szCs w:val="21"/>
                    </w:rPr>
                    <w:t>直流冷却水</w:t>
                  </w:r>
                </w:p>
              </w:tc>
              <w:tc>
                <w:tcPr>
                  <w:tcW w:w="9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b/>
                      <w:color w:val="000000" w:themeColor="text1"/>
                      <w:szCs w:val="21"/>
                    </w:rPr>
                  </w:pPr>
                  <w:r>
                    <w:rPr>
                      <w:rFonts w:hint="eastAsia" w:ascii="宋体" w:hAnsi="宋体"/>
                      <w:b/>
                      <w:szCs w:val="21"/>
                    </w:rPr>
                    <w:t>敞开式循环冷却水系统补充水</w:t>
                  </w:r>
                </w:p>
              </w:tc>
              <w:tc>
                <w:tcPr>
                  <w:tcW w:w="713" w:type="pct"/>
                  <w:vMerge w:val="continue"/>
                  <w:tcBorders>
                    <w:tl2br w:val="nil"/>
                    <w:tr2bl w:val="nil"/>
                  </w:tcBorders>
                  <w:vAlign w:val="center"/>
                </w:tcPr>
                <w:p>
                  <w:pPr>
                    <w:jc w:val="center"/>
                    <w:rPr>
                      <w:rFonts w:ascii="Times New Roman" w:hAnsi="Times New Roman" w:eastAsia="宋体" w:cs="Times New Roman"/>
                      <w:color w:val="000000" w:themeColor="text1"/>
                      <w:szCs w:val="21"/>
                    </w:rPr>
                  </w:pPr>
                </w:p>
              </w:tc>
              <w:tc>
                <w:tcPr>
                  <w:tcW w:w="713" w:type="pct"/>
                  <w:vMerge w:val="continue"/>
                  <w:tcBorders>
                    <w:tl2br w:val="nil"/>
                    <w:tr2bl w:val="nil"/>
                  </w:tcBorders>
                  <w:vAlign w:val="center"/>
                </w:tcPr>
                <w:p>
                  <w:pPr>
                    <w:jc w:val="center"/>
                    <w:rPr>
                      <w:rFonts w:ascii="Times New Roman" w:hAnsi="Times New Roman" w:eastAsia="宋体" w:cs="Times New Roman"/>
                      <w:color w:val="000000" w:themeColor="text1"/>
                      <w:szCs w:val="21"/>
                    </w:rPr>
                  </w:pPr>
                </w:p>
              </w:tc>
              <w:tc>
                <w:tcPr>
                  <w:tcW w:w="716" w:type="pct"/>
                  <w:vMerge w:val="continue"/>
                  <w:tcBorders>
                    <w:tl2br w:val="nil"/>
                    <w:tr2bl w:val="nil"/>
                  </w:tcBorders>
                  <w:vAlign w:val="center"/>
                </w:tcPr>
                <w:p>
                  <w:pPr>
                    <w:jc w:val="center"/>
                    <w:rPr>
                      <w:rFonts w:ascii="Times New Roman" w:hAnsi="Times New Roman" w:eastAsia="宋体" w:cs="Times New Roman"/>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1</w:t>
                  </w:r>
                </w:p>
              </w:tc>
              <w:tc>
                <w:tcPr>
                  <w:tcW w:w="691"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pH值</w:t>
                  </w:r>
                </w:p>
              </w:tc>
              <w:tc>
                <w:tcPr>
                  <w:tcW w:w="844"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6.5-9.0</w:t>
                  </w:r>
                </w:p>
              </w:tc>
              <w:tc>
                <w:tcPr>
                  <w:tcW w:w="908"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6.5-8.5</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6.5-9.0</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6.5-8.5</w:t>
                  </w:r>
                </w:p>
              </w:tc>
              <w:tc>
                <w:tcPr>
                  <w:tcW w:w="716"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6.5-8.5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2</w:t>
                  </w:r>
                </w:p>
              </w:tc>
              <w:tc>
                <w:tcPr>
                  <w:tcW w:w="691"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SS</w:t>
                  </w:r>
                </w:p>
              </w:tc>
              <w:tc>
                <w:tcPr>
                  <w:tcW w:w="844"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≤30</w:t>
                  </w:r>
                </w:p>
              </w:tc>
              <w:tc>
                <w:tcPr>
                  <w:tcW w:w="908"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≤30</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w:t>
                  </w:r>
                </w:p>
              </w:tc>
              <w:tc>
                <w:tcPr>
                  <w:tcW w:w="716"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3</w:t>
                  </w:r>
                </w:p>
              </w:tc>
              <w:tc>
                <w:tcPr>
                  <w:tcW w:w="691"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BOD</w:t>
                  </w:r>
                  <w:r>
                    <w:rPr>
                      <w:rFonts w:hint="eastAsia" w:ascii="宋体" w:hAnsi="宋体"/>
                      <w:bCs/>
                      <w:szCs w:val="21"/>
                      <w:vertAlign w:val="subscript"/>
                    </w:rPr>
                    <w:t>5</w:t>
                  </w:r>
                </w:p>
              </w:tc>
              <w:tc>
                <w:tcPr>
                  <w:tcW w:w="844"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≤30</w:t>
                  </w:r>
                </w:p>
              </w:tc>
              <w:tc>
                <w:tcPr>
                  <w:tcW w:w="908"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≤10</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≤30</w:t>
                  </w:r>
                </w:p>
              </w:tc>
              <w:tc>
                <w:tcPr>
                  <w:tcW w:w="713"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≤10</w:t>
                  </w:r>
                </w:p>
              </w:tc>
              <w:tc>
                <w:tcPr>
                  <w:tcW w:w="716" w:type="pct"/>
                  <w:tcBorders>
                    <w:tl2br w:val="nil"/>
                    <w:tr2bl w:val="nil"/>
                  </w:tcBorders>
                  <w:vAlign w:val="center"/>
                </w:tcPr>
                <w:p>
                  <w:pPr>
                    <w:jc w:val="center"/>
                    <w:rPr>
                      <w:rFonts w:ascii="Times New Roman" w:hAnsi="Times New Roman" w:eastAsia="宋体" w:cs="Times New Roman"/>
                      <w:color w:val="000000" w:themeColor="text1"/>
                      <w:szCs w:val="21"/>
                    </w:rPr>
                  </w:pPr>
                  <w:r>
                    <w:rPr>
                      <w:rFonts w:hint="eastAsia" w:ascii="宋体" w:hAnsi="宋体"/>
                      <w:bCs/>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691"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COD</w:t>
                  </w:r>
                </w:p>
              </w:tc>
              <w:tc>
                <w:tcPr>
                  <w:tcW w:w="844"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908"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≤60</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≤60</w:t>
                  </w:r>
                </w:p>
              </w:tc>
              <w:tc>
                <w:tcPr>
                  <w:tcW w:w="716"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691"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氨氮</w:t>
                  </w:r>
                </w:p>
              </w:tc>
              <w:tc>
                <w:tcPr>
                  <w:tcW w:w="844"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908"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≤10</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≤10</w:t>
                  </w:r>
                </w:p>
              </w:tc>
              <w:tc>
                <w:tcPr>
                  <w:tcW w:w="716"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7" w:hRule="atLeast"/>
                <w:jc w:val="center"/>
              </w:trPr>
              <w:tc>
                <w:tcPr>
                  <w:tcW w:w="41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691"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石油类</w:t>
                  </w:r>
                </w:p>
              </w:tc>
              <w:tc>
                <w:tcPr>
                  <w:tcW w:w="844"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908"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w:t>
                  </w:r>
                </w:p>
              </w:tc>
              <w:tc>
                <w:tcPr>
                  <w:tcW w:w="713"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w:t>
                  </w:r>
                </w:p>
              </w:tc>
              <w:tc>
                <w:tcPr>
                  <w:tcW w:w="716" w:type="pct"/>
                  <w:tcBorders>
                    <w:tl2br w:val="nil"/>
                    <w:tr2bl w:val="nil"/>
                  </w:tcBorders>
                  <w:vAlign w:val="center"/>
                </w:tcPr>
                <w:p>
                  <w:pPr>
                    <w:jc w:val="center"/>
                    <w:rPr>
                      <w:rFonts w:ascii="Times New Roman" w:hAnsi="Times New Roman" w:eastAsia="宋体" w:cs="Times New Roman"/>
                      <w:szCs w:val="21"/>
                    </w:rPr>
                  </w:pPr>
                  <w:r>
                    <w:rPr>
                      <w:rFonts w:hint="eastAsia" w:ascii="宋体" w:hAnsi="宋体"/>
                      <w:bCs/>
                      <w:szCs w:val="21"/>
                    </w:rPr>
                    <w:t>≤1</w:t>
                  </w:r>
                </w:p>
              </w:tc>
            </w:tr>
          </w:tbl>
          <w:p>
            <w:pPr>
              <w:spacing w:line="360" w:lineRule="auto"/>
              <w:ind w:firstLine="482" w:firstLineChars="200"/>
              <w:rPr>
                <w:rFonts w:ascii="Times New Roman" w:hAnsi="Times New Roman" w:cs="Times New Roman"/>
                <w:b/>
                <w:sz w:val="24"/>
                <w:szCs w:val="20"/>
              </w:rPr>
            </w:pPr>
            <w:r>
              <w:rPr>
                <w:rFonts w:ascii="Times New Roman" w:hAnsi="Times New Roman" w:cs="Times New Roman"/>
                <w:b/>
                <w:bCs/>
                <w:sz w:val="24"/>
              </w:rPr>
              <w:t>2、废气</w:t>
            </w:r>
          </w:p>
          <w:p>
            <w:pPr>
              <w:spacing w:line="360" w:lineRule="auto"/>
              <w:ind w:firstLine="480" w:firstLineChars="200"/>
              <w:rPr>
                <w:sz w:val="24"/>
              </w:rPr>
            </w:pPr>
            <w:r>
              <w:rPr>
                <w:sz w:val="24"/>
              </w:rPr>
              <w:t>本项目</w:t>
            </w:r>
            <w:r>
              <w:rPr>
                <w:rFonts w:hint="eastAsia"/>
                <w:sz w:val="24"/>
              </w:rPr>
              <w:t>拆解过程中产生的粉尘排放</w:t>
            </w:r>
            <w:r>
              <w:rPr>
                <w:sz w:val="24"/>
              </w:rPr>
              <w:t>执行《大气污染物综合排放标准》</w:t>
            </w:r>
            <w:r>
              <w:rPr>
                <w:rFonts w:hint="eastAsia"/>
                <w:sz w:val="24"/>
              </w:rPr>
              <w:t>（</w:t>
            </w:r>
            <w:r>
              <w:rPr>
                <w:sz w:val="24"/>
              </w:rPr>
              <w:t>GB16297-1996</w:t>
            </w:r>
            <w:r>
              <w:rPr>
                <w:rFonts w:hint="eastAsia"/>
                <w:sz w:val="24"/>
              </w:rPr>
              <w:t>）</w:t>
            </w:r>
            <w:r>
              <w:rPr>
                <w:sz w:val="24"/>
              </w:rPr>
              <w:t>中表</w:t>
            </w:r>
            <w:r>
              <w:rPr>
                <w:rFonts w:hint="eastAsia"/>
                <w:sz w:val="24"/>
              </w:rPr>
              <w:t>2标准</w:t>
            </w:r>
            <w:r>
              <w:rPr>
                <w:sz w:val="24"/>
              </w:rPr>
              <w:t>要求</w:t>
            </w:r>
            <w:r>
              <w:rPr>
                <w:rFonts w:hint="eastAsia"/>
                <w:sz w:val="24"/>
              </w:rPr>
              <w:t>；预处理及废机油收储车间产生的非甲烷总烃执行</w:t>
            </w:r>
            <w:r>
              <w:rPr>
                <w:sz w:val="24"/>
              </w:rPr>
              <w:t>《大气污染物综合排放标准》</w:t>
            </w:r>
            <w:r>
              <w:rPr>
                <w:rFonts w:hint="eastAsia"/>
                <w:sz w:val="24"/>
              </w:rPr>
              <w:t>（</w:t>
            </w:r>
            <w:r>
              <w:rPr>
                <w:sz w:val="24"/>
              </w:rPr>
              <w:t>GB16297-1996</w:t>
            </w:r>
            <w:r>
              <w:rPr>
                <w:rFonts w:hint="eastAsia"/>
                <w:sz w:val="24"/>
              </w:rPr>
              <w:t>）</w:t>
            </w:r>
            <w:r>
              <w:rPr>
                <w:sz w:val="24"/>
              </w:rPr>
              <w:t>中表</w:t>
            </w:r>
            <w:r>
              <w:rPr>
                <w:rFonts w:hint="eastAsia"/>
                <w:sz w:val="24"/>
              </w:rPr>
              <w:t>2</w:t>
            </w:r>
            <w:r>
              <w:rPr>
                <w:sz w:val="24"/>
              </w:rPr>
              <w:t>限值要求</w:t>
            </w:r>
            <w:r>
              <w:rPr>
                <w:rFonts w:hint="eastAsia"/>
                <w:sz w:val="24"/>
              </w:rPr>
              <w:t>，厂区内无组织挥发的有机废气执行《挥发性有机物无组</w:t>
            </w:r>
            <w:r>
              <w:rPr>
                <w:spacing w:val="-6"/>
                <w:sz w:val="24"/>
              </w:rPr>
              <w:t>织排放控制标准》（GB37822 -2019）表A.1中排放限值，排放标准详见下表</w:t>
            </w:r>
            <w:r>
              <w:rPr>
                <w:sz w:val="24"/>
              </w:rPr>
              <w:t>。</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w:t>
            </w:r>
            <w:r>
              <w:rPr>
                <w:rFonts w:hint="eastAsia" w:ascii="Times New Roman" w:hAnsi="Times New Roman" w:cs="Times New Roman"/>
                <w:bCs/>
                <w:sz w:val="24"/>
                <w:szCs w:val="24"/>
                <w:lang w:val="en-US" w:eastAsia="zh-CN"/>
              </w:rPr>
              <w:t>29</w:t>
            </w:r>
            <w:r>
              <w:rPr>
                <w:rFonts w:hint="eastAsia" w:ascii="Times New Roman" w:hAnsi="Times New Roman" w:cs="Times New Roman"/>
                <w:bCs/>
                <w:sz w:val="24"/>
                <w:szCs w:val="24"/>
              </w:rPr>
              <w:t xml:space="preserve">  </w:t>
            </w:r>
            <w:r>
              <w:rPr>
                <w:rFonts w:ascii="Times New Roman" w:hAnsi="Times New Roman" w:cs="Times New Roman"/>
                <w:bCs/>
                <w:sz w:val="24"/>
                <w:szCs w:val="24"/>
              </w:rPr>
              <w:t>《大气污染物综合排放标准》</w:t>
            </w:r>
          </w:p>
          <w:tbl>
            <w:tblPr>
              <w:tblStyle w:val="25"/>
              <w:tblW w:w="777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315"/>
              <w:gridCol w:w="27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trPr>
              <w:tc>
                <w:tcPr>
                  <w:tcW w:w="1681" w:type="dxa"/>
                  <w:tcBorders>
                    <w:right w:val="single" w:color="474747" w:sz="2" w:space="0"/>
                  </w:tcBorders>
                  <w:noWrap/>
                  <w:vAlign w:val="center"/>
                </w:tcPr>
                <w:p>
                  <w:pPr>
                    <w:jc w:val="center"/>
                    <w:rPr>
                      <w:rFonts w:ascii="Times New Roman" w:hAnsi="Times New Roman" w:cs="Times New Roman"/>
                      <w:b/>
                    </w:rPr>
                  </w:pPr>
                  <w:r>
                    <w:rPr>
                      <w:b/>
                    </w:rPr>
                    <w:t>污染物</w:t>
                  </w:r>
                </w:p>
              </w:tc>
              <w:tc>
                <w:tcPr>
                  <w:tcW w:w="3315" w:type="dxa"/>
                  <w:tcBorders>
                    <w:right w:val="single" w:color="474747" w:sz="2" w:space="0"/>
                  </w:tcBorders>
                  <w:noWrap/>
                  <w:vAlign w:val="center"/>
                </w:tcPr>
                <w:p>
                  <w:pPr>
                    <w:jc w:val="center"/>
                    <w:rPr>
                      <w:rFonts w:ascii="Times New Roman" w:hAnsi="Times New Roman" w:cs="Times New Roman"/>
                      <w:b/>
                    </w:rPr>
                  </w:pPr>
                  <w:r>
                    <w:rPr>
                      <w:b/>
                    </w:rPr>
                    <w:t>监控点</w:t>
                  </w:r>
                </w:p>
              </w:tc>
              <w:tc>
                <w:tcPr>
                  <w:tcW w:w="2779" w:type="dxa"/>
                  <w:tcBorders>
                    <w:right w:val="single" w:color="474747" w:sz="2" w:space="0"/>
                  </w:tcBorders>
                  <w:noWrap/>
                  <w:vAlign w:val="center"/>
                </w:tcPr>
                <w:p>
                  <w:pPr>
                    <w:jc w:val="center"/>
                    <w:rPr>
                      <w:rFonts w:ascii="Times New Roman" w:hAnsi="Times New Roman" w:cs="Times New Roman"/>
                      <w:b/>
                    </w:rPr>
                  </w:pPr>
                  <w:r>
                    <w:rPr>
                      <w:b/>
                    </w:rPr>
                    <w:t>浓度限值（mg/m</w:t>
                  </w:r>
                  <w:r>
                    <w:rPr>
                      <w:b/>
                      <w:vertAlign w:val="superscript"/>
                    </w:rPr>
                    <w:t>3</w:t>
                  </w:r>
                  <w:r>
                    <w:rPr>
                      <w:b/>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681" w:type="dxa"/>
                  <w:vMerge w:val="restart"/>
                  <w:tcBorders>
                    <w:right w:val="single" w:color="474747" w:sz="2" w:space="0"/>
                  </w:tcBorders>
                  <w:noWrap/>
                  <w:vAlign w:val="center"/>
                </w:tcPr>
                <w:p>
                  <w:pPr>
                    <w:jc w:val="center"/>
                    <w:rPr>
                      <w:rFonts w:ascii="Times New Roman" w:hAnsi="Times New Roman" w:cs="Times New Roman"/>
                      <w:bCs/>
                    </w:rPr>
                  </w:pPr>
                  <w:r>
                    <w:rPr>
                      <w:bCs/>
                    </w:rPr>
                    <w:t>颗粒物</w:t>
                  </w:r>
                </w:p>
              </w:tc>
              <w:tc>
                <w:tcPr>
                  <w:tcW w:w="3315" w:type="dxa"/>
                  <w:tcBorders>
                    <w:right w:val="single" w:color="474747" w:sz="2" w:space="0"/>
                  </w:tcBorders>
                  <w:noWrap/>
                  <w:vAlign w:val="center"/>
                </w:tcPr>
                <w:p>
                  <w:pPr>
                    <w:jc w:val="center"/>
                    <w:rPr>
                      <w:rFonts w:ascii="Times New Roman" w:hAnsi="Times New Roman" w:cs="Times New Roman"/>
                      <w:bCs/>
                    </w:rPr>
                  </w:pPr>
                  <w:r>
                    <w:rPr>
                      <w:bCs/>
                    </w:rPr>
                    <w:t>周界外浓度最高点</w:t>
                  </w:r>
                </w:p>
              </w:tc>
              <w:tc>
                <w:tcPr>
                  <w:tcW w:w="2779" w:type="dxa"/>
                  <w:tcBorders>
                    <w:right w:val="single" w:color="474747" w:sz="2" w:space="0"/>
                  </w:tcBorders>
                  <w:noWrap/>
                  <w:vAlign w:val="center"/>
                </w:tcPr>
                <w:p>
                  <w:pPr>
                    <w:jc w:val="center"/>
                    <w:rPr>
                      <w:rFonts w:ascii="Times New Roman" w:hAnsi="Times New Roman" w:cs="Times New Roman"/>
                      <w:bCs/>
                    </w:rPr>
                  </w:pPr>
                  <w:r>
                    <w:rPr>
                      <w:bCs/>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178" w:hRule="atLeast"/>
              </w:trPr>
              <w:tc>
                <w:tcPr>
                  <w:tcW w:w="1681" w:type="dxa"/>
                  <w:vMerge w:val="continue"/>
                  <w:tcBorders>
                    <w:right w:val="single" w:color="474747" w:sz="2" w:space="0"/>
                  </w:tcBorders>
                  <w:noWrap/>
                  <w:vAlign w:val="center"/>
                </w:tcPr>
                <w:p>
                  <w:pPr>
                    <w:jc w:val="center"/>
                    <w:rPr>
                      <w:rFonts w:ascii="Times New Roman" w:hAnsi="Times New Roman" w:cs="Times New Roman"/>
                      <w:bCs/>
                    </w:rPr>
                  </w:pPr>
                </w:p>
              </w:tc>
              <w:tc>
                <w:tcPr>
                  <w:tcW w:w="3315" w:type="dxa"/>
                  <w:vMerge w:val="restart"/>
                  <w:tcBorders>
                    <w:right w:val="single" w:color="474747" w:sz="2" w:space="0"/>
                  </w:tcBorders>
                  <w:noWrap/>
                  <w:vAlign w:val="center"/>
                </w:tcPr>
                <w:p>
                  <w:pPr>
                    <w:jc w:val="center"/>
                    <w:rPr>
                      <w:bCs/>
                    </w:rPr>
                  </w:pPr>
                  <w:r>
                    <w:rPr>
                      <w:rFonts w:hint="eastAsia"/>
                      <w:bCs/>
                    </w:rPr>
                    <w:t>15m高排气筒（二级标准）</w:t>
                  </w:r>
                </w:p>
              </w:tc>
              <w:tc>
                <w:tcPr>
                  <w:tcW w:w="2779" w:type="dxa"/>
                  <w:tcBorders>
                    <w:right w:val="single" w:color="474747" w:sz="2" w:space="0"/>
                  </w:tcBorders>
                  <w:noWrap/>
                  <w:vAlign w:val="center"/>
                </w:tcPr>
                <w:p>
                  <w:pPr>
                    <w:jc w:val="center"/>
                    <w:rPr>
                      <w:rFonts w:ascii="Times New Roman" w:hAnsi="Times New Roman" w:cs="Times New Roman"/>
                      <w:bCs/>
                    </w:rPr>
                  </w:pPr>
                  <w:r>
                    <w:rPr>
                      <w:rFonts w:hint="eastAsia"/>
                      <w:bCs/>
                    </w:rPr>
                    <w:t>120.0mg/m</w:t>
                  </w:r>
                  <w:r>
                    <w:rPr>
                      <w:rFonts w:hint="eastAsia"/>
                      <w:bCs/>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178" w:hRule="atLeast"/>
              </w:trPr>
              <w:tc>
                <w:tcPr>
                  <w:tcW w:w="1681" w:type="dxa"/>
                  <w:vMerge w:val="continue"/>
                  <w:tcBorders>
                    <w:right w:val="single" w:color="474747" w:sz="2" w:space="0"/>
                  </w:tcBorders>
                  <w:noWrap/>
                  <w:vAlign w:val="center"/>
                </w:tcPr>
                <w:p>
                  <w:pPr>
                    <w:jc w:val="center"/>
                    <w:rPr>
                      <w:rFonts w:ascii="Times New Roman" w:hAnsi="Times New Roman" w:cs="Times New Roman"/>
                      <w:bCs/>
                    </w:rPr>
                  </w:pPr>
                </w:p>
              </w:tc>
              <w:tc>
                <w:tcPr>
                  <w:tcW w:w="3315" w:type="dxa"/>
                  <w:vMerge w:val="continue"/>
                  <w:tcBorders>
                    <w:right w:val="single" w:color="474747" w:sz="2" w:space="0"/>
                  </w:tcBorders>
                  <w:noWrap/>
                  <w:vAlign w:val="center"/>
                </w:tcPr>
                <w:p>
                  <w:pPr>
                    <w:jc w:val="center"/>
                    <w:rPr>
                      <w:rFonts w:ascii="Times New Roman" w:hAnsi="Times New Roman" w:cs="Times New Roman"/>
                      <w:bCs/>
                    </w:rPr>
                  </w:pPr>
                </w:p>
              </w:tc>
              <w:tc>
                <w:tcPr>
                  <w:tcW w:w="2779" w:type="dxa"/>
                  <w:tcBorders>
                    <w:right w:val="single" w:color="474747" w:sz="2" w:space="0"/>
                  </w:tcBorders>
                  <w:noWrap/>
                  <w:vAlign w:val="center"/>
                </w:tcPr>
                <w:p>
                  <w:pPr>
                    <w:jc w:val="center"/>
                    <w:rPr>
                      <w:rFonts w:ascii="Times New Roman" w:hAnsi="Times New Roman" w:cs="Times New Roman"/>
                      <w:bCs/>
                    </w:rPr>
                  </w:pPr>
                  <w:r>
                    <w:rPr>
                      <w:rFonts w:hint="eastAsia"/>
                      <w:bCs/>
                    </w:rPr>
                    <w:t>排放速率3.5kg/h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178" w:hRule="atLeast"/>
              </w:trPr>
              <w:tc>
                <w:tcPr>
                  <w:tcW w:w="1681" w:type="dxa"/>
                  <w:vMerge w:val="restart"/>
                  <w:tcBorders>
                    <w:right w:val="single" w:color="474747" w:sz="2" w:space="0"/>
                  </w:tcBorders>
                  <w:noWrap/>
                  <w:vAlign w:val="center"/>
                </w:tcPr>
                <w:p>
                  <w:pPr>
                    <w:jc w:val="center"/>
                    <w:rPr>
                      <w:rFonts w:ascii="Times New Roman" w:hAnsi="Times New Roman" w:cs="Times New Roman"/>
                      <w:bCs/>
                    </w:rPr>
                  </w:pPr>
                  <w:r>
                    <w:rPr>
                      <w:rFonts w:hint="eastAsia"/>
                      <w:bCs/>
                    </w:rPr>
                    <w:t>非甲烷总烃</w:t>
                  </w:r>
                </w:p>
              </w:tc>
              <w:tc>
                <w:tcPr>
                  <w:tcW w:w="3315" w:type="dxa"/>
                  <w:vMerge w:val="restart"/>
                  <w:tcBorders>
                    <w:right w:val="single" w:color="474747" w:sz="2" w:space="0"/>
                  </w:tcBorders>
                  <w:noWrap/>
                  <w:vAlign w:val="center"/>
                </w:tcPr>
                <w:p>
                  <w:pPr>
                    <w:jc w:val="center"/>
                    <w:rPr>
                      <w:bCs/>
                    </w:rPr>
                  </w:pPr>
                  <w:r>
                    <w:rPr>
                      <w:rFonts w:hint="eastAsia"/>
                      <w:bCs/>
                    </w:rPr>
                    <w:t>15m高排气筒（二级标准）</w:t>
                  </w:r>
                </w:p>
              </w:tc>
              <w:tc>
                <w:tcPr>
                  <w:tcW w:w="2779" w:type="dxa"/>
                  <w:tcBorders>
                    <w:right w:val="single" w:color="474747" w:sz="2" w:space="0"/>
                  </w:tcBorders>
                  <w:noWrap/>
                  <w:vAlign w:val="center"/>
                </w:tcPr>
                <w:p>
                  <w:pPr>
                    <w:jc w:val="center"/>
                    <w:rPr>
                      <w:rFonts w:ascii="Times New Roman" w:hAnsi="Times New Roman" w:cs="Times New Roman"/>
                      <w:bCs/>
                    </w:rPr>
                  </w:pPr>
                  <w:r>
                    <w:rPr>
                      <w:rFonts w:hint="eastAsia"/>
                      <w:bCs/>
                    </w:rPr>
                    <w:t>120 mg/m</w:t>
                  </w:r>
                  <w:r>
                    <w:rPr>
                      <w:rFonts w:hint="eastAsia"/>
                      <w:bCs/>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178" w:hRule="atLeast"/>
              </w:trPr>
              <w:tc>
                <w:tcPr>
                  <w:tcW w:w="1681" w:type="dxa"/>
                  <w:vMerge w:val="continue"/>
                  <w:tcBorders>
                    <w:right w:val="single" w:color="474747" w:sz="2" w:space="0"/>
                  </w:tcBorders>
                  <w:noWrap/>
                  <w:vAlign w:val="center"/>
                </w:tcPr>
                <w:p>
                  <w:pPr>
                    <w:jc w:val="center"/>
                    <w:rPr>
                      <w:rFonts w:ascii="Times New Roman" w:hAnsi="Times New Roman" w:cs="Times New Roman"/>
                      <w:bCs/>
                    </w:rPr>
                  </w:pPr>
                </w:p>
              </w:tc>
              <w:tc>
                <w:tcPr>
                  <w:tcW w:w="3315" w:type="dxa"/>
                  <w:vMerge w:val="continue"/>
                  <w:tcBorders>
                    <w:right w:val="single" w:color="474747" w:sz="2" w:space="0"/>
                  </w:tcBorders>
                  <w:noWrap/>
                  <w:vAlign w:val="center"/>
                </w:tcPr>
                <w:p>
                  <w:pPr>
                    <w:jc w:val="center"/>
                    <w:rPr>
                      <w:rFonts w:ascii="Times New Roman" w:hAnsi="Times New Roman" w:cs="Times New Roman"/>
                      <w:bCs/>
                    </w:rPr>
                  </w:pPr>
                </w:p>
              </w:tc>
              <w:tc>
                <w:tcPr>
                  <w:tcW w:w="2779" w:type="dxa"/>
                  <w:tcBorders>
                    <w:right w:val="single" w:color="474747" w:sz="2" w:space="0"/>
                  </w:tcBorders>
                  <w:noWrap/>
                  <w:vAlign w:val="center"/>
                </w:tcPr>
                <w:p>
                  <w:pPr>
                    <w:jc w:val="center"/>
                    <w:rPr>
                      <w:rFonts w:ascii="Times New Roman" w:hAnsi="Times New Roman" w:cs="Times New Roman"/>
                      <w:bCs/>
                    </w:rPr>
                  </w:pPr>
                  <w:r>
                    <w:rPr>
                      <w:rFonts w:hint="eastAsia"/>
                      <w:bCs/>
                    </w:rPr>
                    <w:t>排放速率10kg/h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681" w:type="dxa"/>
                  <w:vMerge w:val="continue"/>
                  <w:tcBorders>
                    <w:right w:val="single" w:color="474747" w:sz="2" w:space="0"/>
                  </w:tcBorders>
                  <w:noWrap/>
                  <w:vAlign w:val="center"/>
                </w:tcPr>
                <w:p>
                  <w:pPr>
                    <w:jc w:val="center"/>
                    <w:rPr>
                      <w:rFonts w:ascii="Times New Roman" w:hAnsi="Times New Roman" w:cs="Times New Roman"/>
                      <w:bCs/>
                    </w:rPr>
                  </w:pPr>
                </w:p>
              </w:tc>
              <w:tc>
                <w:tcPr>
                  <w:tcW w:w="3315" w:type="dxa"/>
                  <w:tcBorders>
                    <w:right w:val="single" w:color="474747" w:sz="2" w:space="0"/>
                  </w:tcBorders>
                  <w:noWrap/>
                  <w:vAlign w:val="center"/>
                </w:tcPr>
                <w:p>
                  <w:pPr>
                    <w:jc w:val="center"/>
                    <w:rPr>
                      <w:rFonts w:ascii="Times New Roman" w:hAnsi="Times New Roman" w:cs="Times New Roman"/>
                      <w:bCs/>
                    </w:rPr>
                  </w:pPr>
                  <w:r>
                    <w:rPr>
                      <w:bCs/>
                    </w:rPr>
                    <w:t>周界外浓度最高点</w:t>
                  </w:r>
                </w:p>
              </w:tc>
              <w:tc>
                <w:tcPr>
                  <w:tcW w:w="2779" w:type="dxa"/>
                  <w:tcBorders>
                    <w:right w:val="single" w:color="474747" w:sz="2" w:space="0"/>
                  </w:tcBorders>
                  <w:noWrap/>
                  <w:vAlign w:val="center"/>
                </w:tcPr>
                <w:p>
                  <w:pPr>
                    <w:jc w:val="center"/>
                    <w:rPr>
                      <w:rFonts w:ascii="Times New Roman" w:hAnsi="Times New Roman" w:cs="Times New Roman"/>
                      <w:bCs/>
                    </w:rPr>
                  </w:pPr>
                  <w:r>
                    <w:rPr>
                      <w:rFonts w:hint="eastAsia" w:ascii="Times New Roman" w:hAnsi="Times New Roman" w:cs="Times New Roman"/>
                      <w:bCs/>
                    </w:rPr>
                    <w:t>4.0</w:t>
                  </w:r>
                </w:p>
              </w:tc>
            </w:tr>
          </w:tbl>
          <w:p>
            <w:pPr>
              <w:pStyle w:val="33"/>
              <w:numPr>
                <w:ilvl w:val="0"/>
                <w:numId w:val="0"/>
              </w:numPr>
              <w:spacing w:line="240" w:lineRule="auto"/>
              <w:rPr>
                <w:rFonts w:hint="eastAsia" w:ascii="Times New Roman" w:hAnsi="Times New Roman" w:cs="Times New Roman"/>
                <w:bCs/>
                <w:sz w:val="24"/>
                <w:szCs w:val="24"/>
              </w:rPr>
            </w:pP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表3</w:t>
            </w:r>
            <w:r>
              <w:rPr>
                <w:rFonts w:hint="eastAsia" w:ascii="Times New Roman" w:hAnsi="Times New Roman" w:cs="Times New Roman"/>
                <w:bCs/>
                <w:sz w:val="24"/>
                <w:szCs w:val="24"/>
                <w:lang w:val="en-US" w:eastAsia="zh-CN"/>
              </w:rPr>
              <w:t>0</w:t>
            </w:r>
            <w:r>
              <w:rPr>
                <w:rFonts w:hint="eastAsia" w:ascii="Times New Roman" w:hAnsi="Times New Roman" w:cs="Times New Roman"/>
                <w:bCs/>
                <w:sz w:val="24"/>
                <w:szCs w:val="24"/>
              </w:rPr>
              <w:t xml:space="preserve">  </w:t>
            </w:r>
            <w:r>
              <w:rPr>
                <w:rFonts w:ascii="Times New Roman" w:hAnsi="Times New Roman" w:cs="Times New Roman"/>
                <w:bCs/>
                <w:sz w:val="24"/>
                <w:szCs w:val="24"/>
              </w:rPr>
              <w:t>厂区内VOCs无组织排放限值</w:t>
            </w:r>
          </w:p>
          <w:tbl>
            <w:tblPr>
              <w:tblStyle w:val="25"/>
              <w:tblW w:w="497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36"/>
              <w:gridCol w:w="2914"/>
              <w:gridCol w:w="22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trPr>
              <w:tc>
                <w:tcPr>
                  <w:tcW w:w="880" w:type="pct"/>
                  <w:tcBorders>
                    <w:tl2br w:val="nil"/>
                    <w:tr2bl w:val="nil"/>
                  </w:tcBorders>
                  <w:noWrap/>
                  <w:vAlign w:val="center"/>
                </w:tcPr>
                <w:p>
                  <w:pPr>
                    <w:jc w:val="center"/>
                    <w:rPr>
                      <w:rFonts w:ascii="Times New Roman" w:hAnsi="Times New Roman" w:cs="Times New Roman"/>
                      <w:b/>
                      <w:bCs/>
                      <w:szCs w:val="21"/>
                    </w:rPr>
                  </w:pPr>
                  <w:r>
                    <w:rPr>
                      <w:rFonts w:ascii="Times New Roman" w:hAnsi="Times New Roman" w:cs="Times New Roman"/>
                      <w:b/>
                      <w:bCs/>
                      <w:szCs w:val="21"/>
                    </w:rPr>
                    <w:t>污染物项目</w:t>
                  </w:r>
                </w:p>
              </w:tc>
              <w:tc>
                <w:tcPr>
                  <w:tcW w:w="799" w:type="pct"/>
                  <w:tcBorders>
                    <w:tl2br w:val="nil"/>
                    <w:tr2bl w:val="nil"/>
                  </w:tcBorders>
                  <w:noWrap/>
                  <w:vAlign w:val="center"/>
                </w:tcPr>
                <w:p>
                  <w:pPr>
                    <w:jc w:val="center"/>
                    <w:rPr>
                      <w:rFonts w:ascii="Times New Roman" w:hAnsi="Times New Roman" w:cs="Times New Roman"/>
                      <w:b/>
                      <w:bCs/>
                      <w:szCs w:val="21"/>
                    </w:rPr>
                  </w:pPr>
                  <w:r>
                    <w:rPr>
                      <w:rFonts w:ascii="Times New Roman" w:hAnsi="Times New Roman" w:cs="Times New Roman"/>
                      <w:b/>
                      <w:bCs/>
                      <w:szCs w:val="21"/>
                    </w:rPr>
                    <w:t>排放限值</w:t>
                  </w:r>
                </w:p>
              </w:tc>
              <w:tc>
                <w:tcPr>
                  <w:tcW w:w="1882" w:type="pct"/>
                  <w:tcBorders>
                    <w:tl2br w:val="nil"/>
                    <w:tr2bl w:val="nil"/>
                  </w:tcBorders>
                  <w:noWrap/>
                  <w:vAlign w:val="center"/>
                </w:tcPr>
                <w:p>
                  <w:pPr>
                    <w:jc w:val="center"/>
                    <w:rPr>
                      <w:rFonts w:ascii="Times New Roman" w:hAnsi="Times New Roman" w:cs="Times New Roman"/>
                      <w:b/>
                      <w:bCs/>
                      <w:szCs w:val="21"/>
                    </w:rPr>
                  </w:pPr>
                  <w:r>
                    <w:rPr>
                      <w:rFonts w:ascii="Times New Roman" w:hAnsi="Times New Roman" w:cs="Times New Roman"/>
                      <w:b/>
                      <w:bCs/>
                      <w:szCs w:val="21"/>
                    </w:rPr>
                    <w:t>限值含义</w:t>
                  </w:r>
                </w:p>
              </w:tc>
              <w:tc>
                <w:tcPr>
                  <w:tcW w:w="1437" w:type="pct"/>
                  <w:tcBorders>
                    <w:tl2br w:val="nil"/>
                    <w:tr2bl w:val="nil"/>
                  </w:tcBorders>
                  <w:noWrap/>
                  <w:vAlign w:val="center"/>
                </w:tcPr>
                <w:p>
                  <w:pPr>
                    <w:jc w:val="center"/>
                    <w:rPr>
                      <w:rFonts w:ascii="Times New Roman" w:hAnsi="Times New Roman" w:cs="Times New Roman"/>
                      <w:b/>
                      <w:bCs/>
                      <w:szCs w:val="21"/>
                    </w:rPr>
                  </w:pPr>
                  <w:r>
                    <w:rPr>
                      <w:rFonts w:hint="eastAsia" w:ascii="Times New Roman" w:hAnsi="Times New Roman" w:cs="Times New Roman"/>
                      <w:b/>
                      <w:bCs/>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0" w:type="pct"/>
                  <w:vMerge w:val="restart"/>
                  <w:tcBorders>
                    <w:tl2br w:val="nil"/>
                    <w:tr2bl w:val="nil"/>
                  </w:tcBorders>
                  <w:noWrap/>
                  <w:vAlign w:val="center"/>
                </w:tcPr>
                <w:p>
                  <w:pPr>
                    <w:jc w:val="center"/>
                    <w:rPr>
                      <w:rFonts w:ascii="Times New Roman" w:hAnsi="Times New Roman" w:cs="Times New Roman"/>
                      <w:szCs w:val="21"/>
                    </w:rPr>
                  </w:pPr>
                  <w:r>
                    <w:rPr>
                      <w:rFonts w:ascii="Times New Roman" w:hAnsi="Times New Roman" w:cs="Times New Roman"/>
                      <w:szCs w:val="21"/>
                    </w:rPr>
                    <w:t>NMHC</w:t>
                  </w:r>
                </w:p>
              </w:tc>
              <w:tc>
                <w:tcPr>
                  <w:tcW w:w="799" w:type="pct"/>
                  <w:tcBorders>
                    <w:tl2br w:val="nil"/>
                    <w:tr2bl w:val="nil"/>
                  </w:tcBorders>
                  <w:noWrap/>
                  <w:vAlign w:val="center"/>
                </w:tcPr>
                <w:p>
                  <w:pPr>
                    <w:jc w:val="center"/>
                    <w:rPr>
                      <w:rFonts w:ascii="Times New Roman" w:hAnsi="Times New Roman" w:cs="Times New Roman"/>
                      <w:color w:val="000000" w:themeColor="text1"/>
                      <w:szCs w:val="21"/>
                    </w:rPr>
                  </w:pPr>
                  <w:r>
                    <w:rPr>
                      <w:rFonts w:ascii="Times New Roman" w:hAnsi="Times New Roman" w:cs="Times New Roman"/>
                      <w:szCs w:val="21"/>
                    </w:rPr>
                    <w:t>10</w:t>
                  </w:r>
                </w:p>
              </w:tc>
              <w:tc>
                <w:tcPr>
                  <w:tcW w:w="1882" w:type="pct"/>
                  <w:tcBorders>
                    <w:tl2br w:val="nil"/>
                    <w:tr2bl w:val="nil"/>
                  </w:tcBorders>
                  <w:noWrap/>
                  <w:vAlign w:val="center"/>
                </w:tcPr>
                <w:p>
                  <w:pPr>
                    <w:jc w:val="center"/>
                    <w:rPr>
                      <w:rFonts w:ascii="Times New Roman" w:hAnsi="Times New Roman" w:cs="Times New Roman"/>
                      <w:szCs w:val="21"/>
                    </w:rPr>
                  </w:pPr>
                  <w:r>
                    <w:rPr>
                      <w:rFonts w:ascii="Times New Roman" w:hAnsi="Times New Roman" w:cs="Times New Roman"/>
                      <w:szCs w:val="21"/>
                    </w:rPr>
                    <w:t>监控点处1h平均浓度值</w:t>
                  </w:r>
                </w:p>
              </w:tc>
              <w:tc>
                <w:tcPr>
                  <w:tcW w:w="1437" w:type="pct"/>
                  <w:vMerge w:val="restart"/>
                  <w:tcBorders>
                    <w:tl2br w:val="nil"/>
                    <w:tr2bl w:val="nil"/>
                  </w:tcBorders>
                  <w:noWrap/>
                  <w:vAlign w:val="center"/>
                </w:tcPr>
                <w:p>
                  <w:pPr>
                    <w:jc w:val="center"/>
                    <w:rPr>
                      <w:rFonts w:ascii="Times New Roman" w:hAnsi="Times New Roman" w:cs="Times New Roman"/>
                      <w:szCs w:val="21"/>
                    </w:rPr>
                  </w:pPr>
                  <w:r>
                    <w:rPr>
                      <w:rFonts w:hint="eastAsia" w:ascii="Times New Roman" w:hAnsi="Times New Roman" w:cs="Times New Roman"/>
                      <w:szCs w:val="21"/>
                    </w:rPr>
                    <w:t>《挥发性有机物无组</w:t>
                  </w:r>
                  <w:r>
                    <w:rPr>
                      <w:rFonts w:ascii="Times New Roman" w:hAnsi="Times New Roman" w:cs="Times New Roman"/>
                      <w:szCs w:val="21"/>
                    </w:rPr>
                    <w:t>织排放控制标准》（GB37822 -2019）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trPr>
              <w:tc>
                <w:tcPr>
                  <w:tcW w:w="880" w:type="pct"/>
                  <w:vMerge w:val="continue"/>
                  <w:tcBorders>
                    <w:tl2br w:val="nil"/>
                    <w:tr2bl w:val="nil"/>
                  </w:tcBorders>
                  <w:noWrap/>
                  <w:vAlign w:val="center"/>
                </w:tcPr>
                <w:p>
                  <w:pPr>
                    <w:jc w:val="center"/>
                    <w:rPr>
                      <w:rFonts w:ascii="Times New Roman" w:hAnsi="Times New Roman" w:cs="Times New Roman"/>
                      <w:szCs w:val="21"/>
                    </w:rPr>
                  </w:pPr>
                </w:p>
              </w:tc>
              <w:tc>
                <w:tcPr>
                  <w:tcW w:w="799" w:type="pct"/>
                  <w:tcBorders>
                    <w:tl2br w:val="nil"/>
                    <w:tr2bl w:val="nil"/>
                  </w:tcBorders>
                  <w:noWrap/>
                  <w:vAlign w:val="center"/>
                </w:tcPr>
                <w:p>
                  <w:pPr>
                    <w:jc w:val="center"/>
                    <w:rPr>
                      <w:rFonts w:ascii="Times New Roman" w:hAnsi="Times New Roman" w:cs="Times New Roman"/>
                      <w:color w:val="000000" w:themeColor="text1"/>
                      <w:szCs w:val="21"/>
                    </w:rPr>
                  </w:pPr>
                  <w:r>
                    <w:rPr>
                      <w:rFonts w:ascii="Times New Roman" w:hAnsi="Times New Roman" w:cs="Times New Roman"/>
                      <w:szCs w:val="21"/>
                    </w:rPr>
                    <w:t>30</w:t>
                  </w:r>
                </w:p>
              </w:tc>
              <w:tc>
                <w:tcPr>
                  <w:tcW w:w="1882" w:type="pct"/>
                  <w:tcBorders>
                    <w:tl2br w:val="nil"/>
                    <w:tr2bl w:val="nil"/>
                  </w:tcBorders>
                  <w:noWrap/>
                  <w:vAlign w:val="center"/>
                </w:tcPr>
                <w:p>
                  <w:pPr>
                    <w:jc w:val="center"/>
                    <w:rPr>
                      <w:rFonts w:ascii="Times New Roman" w:hAnsi="Times New Roman" w:cs="Times New Roman"/>
                      <w:szCs w:val="21"/>
                    </w:rPr>
                  </w:pPr>
                  <w:r>
                    <w:rPr>
                      <w:rFonts w:ascii="Times New Roman" w:hAnsi="Times New Roman" w:cs="Times New Roman"/>
                      <w:szCs w:val="21"/>
                    </w:rPr>
                    <w:t>监控点处任意浓度限值</w:t>
                  </w:r>
                </w:p>
              </w:tc>
              <w:tc>
                <w:tcPr>
                  <w:tcW w:w="1437" w:type="pct"/>
                  <w:vMerge w:val="continue"/>
                  <w:tcBorders>
                    <w:tl2br w:val="nil"/>
                    <w:tr2bl w:val="nil"/>
                  </w:tcBorders>
                  <w:noWrap/>
                  <w:vAlign w:val="center"/>
                </w:tcPr>
                <w:p>
                  <w:pPr>
                    <w:jc w:val="center"/>
                    <w:rPr>
                      <w:rFonts w:ascii="Times New Roman" w:hAnsi="Times New Roman" w:cs="Times New Roman"/>
                      <w:szCs w:val="21"/>
                    </w:rPr>
                  </w:pPr>
                </w:p>
              </w:tc>
            </w:tr>
          </w:tbl>
          <w:p>
            <w:pPr>
              <w:pStyle w:val="45"/>
              <w:keepNext w:val="0"/>
              <w:keepLines w:val="0"/>
              <w:pageBreakBefore w:val="0"/>
              <w:widowControl w:val="0"/>
              <w:numPr>
                <w:ilvl w:val="0"/>
                <w:numId w:val="7"/>
              </w:numPr>
              <w:kinsoku/>
              <w:wordWrap/>
              <w:overflowPunct/>
              <w:topLinePunct w:val="0"/>
              <w:autoSpaceDN/>
              <w:bidi w:val="0"/>
              <w:snapToGrid w:val="0"/>
              <w:spacing w:before="65" w:after="65" w:line="400" w:lineRule="exact"/>
              <w:ind w:firstLine="482"/>
              <w:jc w:val="both"/>
              <w:textAlignment w:val="auto"/>
              <w:rPr>
                <w:rFonts w:ascii="Times New Roman" w:hAnsi="Times New Roman" w:cs="Times New Roman"/>
                <w:b/>
                <w:bCs/>
                <w:sz w:val="24"/>
                <w:szCs w:val="24"/>
              </w:rPr>
            </w:pPr>
            <w:r>
              <w:rPr>
                <w:rFonts w:ascii="Times New Roman" w:hAnsi="Times New Roman" w:cs="Times New Roman"/>
                <w:b/>
                <w:bCs/>
                <w:sz w:val="24"/>
                <w:szCs w:val="24"/>
              </w:rPr>
              <w:t>噪声</w:t>
            </w:r>
          </w:p>
          <w:p>
            <w:pPr>
              <w:pStyle w:val="102"/>
              <w:keepNext w:val="0"/>
              <w:keepLines w:val="0"/>
              <w:pageBreakBefore w:val="0"/>
              <w:widowControl w:val="0"/>
              <w:kinsoku/>
              <w:wordWrap/>
              <w:overflowPunct/>
              <w:topLinePunct w:val="0"/>
              <w:autoSpaceDE w:val="0"/>
              <w:autoSpaceDN/>
              <w:bidi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本项目施工期噪声执行《建筑施工场界环境噪声排放标准》（GB12523-2011）噪声排放限值，详见下表：</w:t>
            </w:r>
          </w:p>
          <w:p>
            <w:pPr>
              <w:pStyle w:val="102"/>
              <w:keepNext w:val="0"/>
              <w:keepLines w:val="0"/>
              <w:pageBreakBefore w:val="0"/>
              <w:widowControl w:val="0"/>
              <w:kinsoku/>
              <w:wordWrap/>
              <w:overflowPunct/>
              <w:topLinePunct w:val="0"/>
              <w:autoSpaceDE w:val="0"/>
              <w:autoSpaceDN/>
              <w:bidi w:val="0"/>
              <w:snapToGrid w:val="0"/>
              <w:spacing w:line="400" w:lineRule="exact"/>
              <w:ind w:firstLine="480" w:firstLineChars="200"/>
              <w:textAlignment w:val="auto"/>
              <w:rPr>
                <w:rFonts w:hint="eastAsia" w:ascii="宋体" w:hAnsi="宋体" w:eastAsia="宋体" w:cs="宋体"/>
                <w:sz w:val="24"/>
              </w:rPr>
            </w:pPr>
          </w:p>
          <w:p>
            <w:pPr>
              <w:pStyle w:val="33"/>
              <w:numPr>
                <w:ilvl w:val="0"/>
                <w:numId w:val="0"/>
              </w:numPr>
              <w:spacing w:line="360" w:lineRule="auto"/>
              <w:jc w:val="right"/>
              <w:rPr>
                <w:sz w:val="24"/>
                <w:szCs w:val="24"/>
              </w:rPr>
            </w:pPr>
            <w:r>
              <w:rPr>
                <w:rFonts w:hint="eastAsia" w:ascii="宋体" w:hAnsi="宋体" w:cs="宋体"/>
                <w:bCs/>
                <w:sz w:val="24"/>
                <w:szCs w:val="24"/>
              </w:rPr>
              <w:t>表3</w:t>
            </w:r>
            <w:r>
              <w:rPr>
                <w:rFonts w:hint="eastAsia" w:ascii="宋体" w:hAnsi="宋体" w:cs="宋体"/>
                <w:bCs/>
                <w:sz w:val="24"/>
                <w:szCs w:val="24"/>
                <w:lang w:val="en-US" w:eastAsia="zh-CN"/>
              </w:rPr>
              <w:t>1</w:t>
            </w:r>
            <w:r>
              <w:rPr>
                <w:rFonts w:hint="eastAsia" w:ascii="宋体" w:hAnsi="宋体" w:cs="宋体"/>
                <w:bCs/>
                <w:sz w:val="24"/>
                <w:szCs w:val="24"/>
              </w:rPr>
              <w:t xml:space="preserve">   建筑施工场界环境噪声排放标准     单位：dB（A）</w:t>
            </w:r>
          </w:p>
          <w:tbl>
            <w:tblPr>
              <w:tblStyle w:val="25"/>
              <w:tblW w:w="497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579"/>
              <w:gridCol w:w="25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4" w:hRule="atLeast"/>
              </w:trPr>
              <w:tc>
                <w:tcPr>
                  <w:tcW w:w="2579" w:type="dxa"/>
                  <w:tcBorders>
                    <w:tl2br w:val="nil"/>
                    <w:tr2bl w:val="nil"/>
                  </w:tcBorders>
                  <w:noWrap/>
                  <w:vAlign w:val="center"/>
                </w:tcPr>
                <w:p>
                  <w:pPr>
                    <w:jc w:val="center"/>
                    <w:rPr>
                      <w:rFonts w:ascii="Times New Roman" w:hAnsi="Times New Roman" w:cs="Times New Roman"/>
                      <w:b/>
                      <w:szCs w:val="21"/>
                    </w:rPr>
                  </w:pPr>
                  <w:r>
                    <w:rPr>
                      <w:rFonts w:hint="eastAsia" w:ascii="宋体" w:hAnsi="宋体" w:cs="宋体"/>
                      <w:b/>
                      <w:szCs w:val="21"/>
                    </w:rPr>
                    <w:t>时段</w:t>
                  </w:r>
                </w:p>
              </w:tc>
              <w:tc>
                <w:tcPr>
                  <w:tcW w:w="2579" w:type="dxa"/>
                  <w:tcBorders>
                    <w:tl2br w:val="nil"/>
                    <w:tr2bl w:val="nil"/>
                  </w:tcBorders>
                  <w:noWrap/>
                  <w:vAlign w:val="center"/>
                </w:tcPr>
                <w:p>
                  <w:pPr>
                    <w:jc w:val="center"/>
                    <w:rPr>
                      <w:rFonts w:ascii="Times New Roman" w:hAnsi="Times New Roman" w:cs="Times New Roman"/>
                      <w:b/>
                      <w:szCs w:val="21"/>
                    </w:rPr>
                  </w:pPr>
                  <w:r>
                    <w:rPr>
                      <w:rFonts w:hint="eastAsia" w:ascii="宋体" w:hAnsi="宋体" w:cs="宋体"/>
                      <w:b/>
                      <w:szCs w:val="21"/>
                    </w:rPr>
                    <w:t>昼间</w:t>
                  </w:r>
                </w:p>
              </w:tc>
              <w:tc>
                <w:tcPr>
                  <w:tcW w:w="2579" w:type="dxa"/>
                  <w:tcBorders>
                    <w:tl2br w:val="nil"/>
                    <w:tr2bl w:val="nil"/>
                  </w:tcBorders>
                  <w:noWrap/>
                  <w:vAlign w:val="center"/>
                </w:tcPr>
                <w:p>
                  <w:pPr>
                    <w:jc w:val="center"/>
                    <w:rPr>
                      <w:rFonts w:ascii="Times New Roman" w:hAnsi="Times New Roman" w:cs="Times New Roman"/>
                      <w:b/>
                      <w:szCs w:val="21"/>
                    </w:rPr>
                  </w:pPr>
                  <w:r>
                    <w:rPr>
                      <w:rFonts w:hint="eastAsia" w:ascii="宋体" w:hAnsi="宋体" w:cs="宋体"/>
                      <w:b/>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79" w:type="dxa"/>
                  <w:tcBorders>
                    <w:tl2br w:val="nil"/>
                    <w:tr2bl w:val="nil"/>
                  </w:tcBorders>
                  <w:noWrap/>
                  <w:vAlign w:val="center"/>
                </w:tcPr>
                <w:p>
                  <w:pPr>
                    <w:jc w:val="center"/>
                    <w:rPr>
                      <w:rFonts w:ascii="Times New Roman" w:hAnsi="Times New Roman" w:cs="Times New Roman"/>
                      <w:szCs w:val="21"/>
                    </w:rPr>
                  </w:pPr>
                  <w:r>
                    <w:rPr>
                      <w:rFonts w:hint="eastAsia" w:ascii="宋体" w:hAnsi="宋体" w:cs="宋体"/>
                      <w:bCs/>
                      <w:szCs w:val="21"/>
                    </w:rPr>
                    <w:t>噪声限值</w:t>
                  </w:r>
                </w:p>
              </w:tc>
              <w:tc>
                <w:tcPr>
                  <w:tcW w:w="2579" w:type="dxa"/>
                  <w:tcBorders>
                    <w:tl2br w:val="nil"/>
                    <w:tr2bl w:val="nil"/>
                  </w:tcBorders>
                  <w:noWrap/>
                  <w:vAlign w:val="center"/>
                </w:tcPr>
                <w:p>
                  <w:pPr>
                    <w:jc w:val="center"/>
                    <w:rPr>
                      <w:rFonts w:ascii="Times New Roman" w:hAnsi="Times New Roman" w:cs="Times New Roman"/>
                      <w:szCs w:val="21"/>
                    </w:rPr>
                  </w:pPr>
                  <w:r>
                    <w:rPr>
                      <w:rFonts w:hint="eastAsia" w:ascii="宋体" w:hAnsi="宋体" w:cs="宋体"/>
                      <w:bCs/>
                      <w:szCs w:val="21"/>
                    </w:rPr>
                    <w:t>70</w:t>
                  </w:r>
                </w:p>
              </w:tc>
              <w:tc>
                <w:tcPr>
                  <w:tcW w:w="2579" w:type="dxa"/>
                  <w:tcBorders>
                    <w:tl2br w:val="nil"/>
                    <w:tr2bl w:val="nil"/>
                  </w:tcBorders>
                  <w:noWrap/>
                  <w:vAlign w:val="center"/>
                </w:tcPr>
                <w:p>
                  <w:pPr>
                    <w:jc w:val="center"/>
                    <w:rPr>
                      <w:rFonts w:ascii="Times New Roman" w:hAnsi="Times New Roman" w:cs="Times New Roman"/>
                      <w:szCs w:val="21"/>
                    </w:rPr>
                  </w:pPr>
                  <w:r>
                    <w:rPr>
                      <w:rFonts w:hint="eastAsia" w:ascii="宋体" w:hAnsi="宋体" w:cs="宋体"/>
                      <w:bCs/>
                      <w:szCs w:val="21"/>
                    </w:rPr>
                    <w:t>55</w:t>
                  </w:r>
                </w:p>
              </w:tc>
            </w:tr>
          </w:tbl>
          <w:p>
            <w:pPr>
              <w:adjustRightInd w:val="0"/>
              <w:snapToGrid w:val="0"/>
              <w:spacing w:line="400" w:lineRule="exact"/>
              <w:ind w:firstLine="482"/>
              <w:jc w:val="left"/>
              <w:rPr>
                <w:rFonts w:hint="eastAsia" w:ascii="宋体" w:hAnsi="宋体" w:cs="宋体"/>
                <w:sz w:val="24"/>
              </w:rPr>
            </w:pPr>
          </w:p>
          <w:p>
            <w:pPr>
              <w:adjustRightInd w:val="0"/>
              <w:snapToGrid w:val="0"/>
              <w:spacing w:line="400" w:lineRule="exact"/>
              <w:ind w:firstLine="482"/>
              <w:jc w:val="left"/>
              <w:rPr>
                <w:rFonts w:ascii="宋体" w:hAnsi="宋体" w:cs="宋体"/>
                <w:b/>
              </w:rPr>
            </w:pPr>
            <w:r>
              <w:rPr>
                <w:rFonts w:hint="eastAsia" w:ascii="宋体" w:hAnsi="宋体" w:cs="宋体"/>
                <w:sz w:val="24"/>
              </w:rPr>
              <w:t>本项目位于</w:t>
            </w:r>
            <w:r>
              <w:rPr>
                <w:rFonts w:ascii="Times New Roman" w:hAnsi="Times New Roman" w:eastAsia="宋体" w:cs="Times New Roman"/>
                <w:sz w:val="24"/>
              </w:rPr>
              <w:t>白城</w:t>
            </w:r>
            <w:r>
              <w:rPr>
                <w:rFonts w:hint="eastAsia" w:ascii="Times New Roman" w:hAnsi="Times New Roman" w:eastAsia="宋体" w:cs="Times New Roman"/>
                <w:sz w:val="24"/>
              </w:rPr>
              <w:t>工业园区东海路北99号</w:t>
            </w:r>
            <w:r>
              <w:rPr>
                <w:rFonts w:hint="eastAsia" w:ascii="宋体" w:hAnsi="宋体" w:cs="宋体"/>
                <w:sz w:val="24"/>
              </w:rPr>
              <w:t>，本项目厂界噪声执行《工业企业厂界环境噪声排放标准》（GB12348-2008）3类标准，具体标准值详见下表：</w:t>
            </w:r>
          </w:p>
          <w:p>
            <w:pPr>
              <w:pStyle w:val="33"/>
              <w:numPr>
                <w:ilvl w:val="0"/>
                <w:numId w:val="0"/>
              </w:numPr>
              <w:spacing w:line="360" w:lineRule="auto"/>
              <w:rPr>
                <w:rFonts w:ascii="Times New Roman" w:hAnsi="Times New Roman" w:cs="Times New Roman"/>
                <w:bCs/>
                <w:sz w:val="24"/>
                <w:szCs w:val="24"/>
              </w:rPr>
            </w:pPr>
            <w:r>
              <w:rPr>
                <w:rFonts w:hint="eastAsia" w:ascii="Times New Roman" w:hAnsi="Times New Roman" w:cs="Times New Roman"/>
                <w:bCs/>
                <w:sz w:val="24"/>
                <w:szCs w:val="24"/>
              </w:rPr>
              <w:t>表3</w:t>
            </w:r>
            <w:r>
              <w:rPr>
                <w:rFonts w:hint="eastAsia" w:ascii="Times New Roman" w:hAnsi="Times New Roman" w:cs="Times New Roman"/>
                <w:bCs/>
                <w:sz w:val="24"/>
                <w:szCs w:val="24"/>
                <w:lang w:val="en-US" w:eastAsia="zh-CN"/>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工业企业厂界环境噪声排放标准   单位：dB（A）</w:t>
            </w:r>
          </w:p>
          <w:tbl>
            <w:tblPr>
              <w:tblStyle w:val="25"/>
              <w:tblW w:w="499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523"/>
              <w:gridCol w:w="1434"/>
              <w:gridCol w:w="31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trPr>
              <w:tc>
                <w:tcPr>
                  <w:tcW w:w="1069" w:type="pct"/>
                  <w:vMerge w:val="restart"/>
                  <w:tcBorders>
                    <w:tl2br w:val="nil"/>
                    <w:tr2bl w:val="nil"/>
                  </w:tcBorders>
                  <w:vAlign w:val="center"/>
                </w:tcPr>
                <w:p>
                  <w:pPr>
                    <w:jc w:val="center"/>
                    <w:rPr>
                      <w:rFonts w:ascii="Times New Roman" w:hAnsi="Times New Roman" w:cs="Times New Roman"/>
                      <w:b/>
                      <w:bCs/>
                      <w:spacing w:val="8"/>
                      <w:szCs w:val="20"/>
                    </w:rPr>
                  </w:pPr>
                  <w:r>
                    <w:rPr>
                      <w:rFonts w:ascii="Times New Roman" w:hAnsi="Times New Roman" w:cs="Times New Roman"/>
                      <w:b/>
                      <w:bCs/>
                      <w:spacing w:val="8"/>
                      <w:szCs w:val="20"/>
                    </w:rPr>
                    <w:t>类别</w:t>
                  </w:r>
                </w:p>
              </w:tc>
              <w:tc>
                <w:tcPr>
                  <w:tcW w:w="1905" w:type="pct"/>
                  <w:gridSpan w:val="2"/>
                  <w:tcBorders>
                    <w:tl2br w:val="nil"/>
                    <w:tr2bl w:val="nil"/>
                  </w:tcBorders>
                  <w:vAlign w:val="center"/>
                </w:tcPr>
                <w:p>
                  <w:pPr>
                    <w:jc w:val="center"/>
                    <w:rPr>
                      <w:rFonts w:ascii="Times New Roman" w:hAnsi="Times New Roman" w:cs="Times New Roman"/>
                      <w:b/>
                      <w:bCs/>
                      <w:spacing w:val="8"/>
                      <w:szCs w:val="20"/>
                    </w:rPr>
                  </w:pPr>
                  <w:r>
                    <w:rPr>
                      <w:rFonts w:ascii="Times New Roman" w:hAnsi="Times New Roman" w:cs="Times New Roman"/>
                      <w:b/>
                      <w:bCs/>
                      <w:spacing w:val="8"/>
                      <w:szCs w:val="20"/>
                    </w:rPr>
                    <w:t>标准值</w:t>
                  </w:r>
                </w:p>
              </w:tc>
              <w:tc>
                <w:tcPr>
                  <w:tcW w:w="2024" w:type="pct"/>
                  <w:vMerge w:val="restart"/>
                  <w:tcBorders>
                    <w:tl2br w:val="nil"/>
                    <w:tr2bl w:val="nil"/>
                  </w:tcBorders>
                  <w:vAlign w:val="center"/>
                </w:tcPr>
                <w:p>
                  <w:pPr>
                    <w:jc w:val="center"/>
                    <w:rPr>
                      <w:rFonts w:ascii="Times New Roman" w:hAnsi="Times New Roman" w:cs="Times New Roman"/>
                      <w:b/>
                      <w:bCs/>
                      <w:spacing w:val="8"/>
                      <w:szCs w:val="20"/>
                    </w:rPr>
                  </w:pPr>
                  <w:r>
                    <w:rPr>
                      <w:rFonts w:ascii="Times New Roman" w:hAnsi="Times New Roman" w:cs="Times New Roman"/>
                      <w:b/>
                      <w:bCs/>
                      <w:spacing w:val="8"/>
                      <w:szCs w:val="20"/>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9" w:type="pct"/>
                  <w:vMerge w:val="continue"/>
                  <w:tcBorders>
                    <w:tl2br w:val="nil"/>
                    <w:tr2bl w:val="nil"/>
                  </w:tcBorders>
                  <w:vAlign w:val="center"/>
                </w:tcPr>
                <w:p>
                  <w:pPr>
                    <w:jc w:val="center"/>
                    <w:rPr>
                      <w:rFonts w:ascii="Times New Roman" w:hAnsi="Times New Roman" w:cs="Times New Roman"/>
                      <w:spacing w:val="8"/>
                      <w:szCs w:val="20"/>
                    </w:rPr>
                  </w:pPr>
                </w:p>
              </w:tc>
              <w:tc>
                <w:tcPr>
                  <w:tcW w:w="981" w:type="pct"/>
                  <w:tcBorders>
                    <w:tl2br w:val="nil"/>
                    <w:tr2bl w:val="nil"/>
                  </w:tcBorders>
                  <w:vAlign w:val="center"/>
                </w:tcPr>
                <w:p>
                  <w:pPr>
                    <w:jc w:val="center"/>
                    <w:rPr>
                      <w:rFonts w:ascii="Times New Roman" w:hAnsi="Times New Roman" w:cs="Times New Roman"/>
                      <w:b/>
                      <w:bCs/>
                      <w:spacing w:val="8"/>
                      <w:szCs w:val="20"/>
                    </w:rPr>
                  </w:pPr>
                  <w:r>
                    <w:rPr>
                      <w:rFonts w:ascii="Times New Roman" w:hAnsi="Times New Roman" w:cs="Times New Roman"/>
                      <w:b/>
                      <w:bCs/>
                      <w:spacing w:val="8"/>
                      <w:szCs w:val="20"/>
                    </w:rPr>
                    <w:t>昼间</w:t>
                  </w:r>
                </w:p>
              </w:tc>
              <w:tc>
                <w:tcPr>
                  <w:tcW w:w="924" w:type="pct"/>
                  <w:tcBorders>
                    <w:tl2br w:val="nil"/>
                    <w:tr2bl w:val="nil"/>
                  </w:tcBorders>
                  <w:vAlign w:val="center"/>
                </w:tcPr>
                <w:p>
                  <w:pPr>
                    <w:jc w:val="center"/>
                    <w:rPr>
                      <w:rFonts w:ascii="Times New Roman" w:hAnsi="Times New Roman" w:cs="Times New Roman"/>
                      <w:b/>
                      <w:bCs/>
                      <w:spacing w:val="8"/>
                      <w:szCs w:val="20"/>
                    </w:rPr>
                  </w:pPr>
                  <w:r>
                    <w:rPr>
                      <w:rFonts w:ascii="Times New Roman" w:hAnsi="Times New Roman" w:cs="Times New Roman"/>
                      <w:b/>
                      <w:bCs/>
                      <w:spacing w:val="8"/>
                      <w:szCs w:val="20"/>
                    </w:rPr>
                    <w:t>夜间</w:t>
                  </w:r>
                </w:p>
              </w:tc>
              <w:tc>
                <w:tcPr>
                  <w:tcW w:w="2024" w:type="pct"/>
                  <w:vMerge w:val="continue"/>
                  <w:tcBorders>
                    <w:tl2br w:val="nil"/>
                    <w:tr2bl w:val="nil"/>
                  </w:tcBorders>
                  <w:vAlign w:val="center"/>
                </w:tcPr>
                <w:p>
                  <w:pPr>
                    <w:jc w:val="center"/>
                    <w:rPr>
                      <w:rFonts w:ascii="Times New Roman" w:hAnsi="Times New Roman" w:cs="Times New Roman"/>
                      <w:spacing w:val="8"/>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2" w:hRule="atLeast"/>
              </w:trPr>
              <w:tc>
                <w:tcPr>
                  <w:tcW w:w="1069" w:type="pct"/>
                  <w:tcBorders>
                    <w:tl2br w:val="nil"/>
                    <w:tr2bl w:val="nil"/>
                  </w:tcBorders>
                  <w:vAlign w:val="center"/>
                </w:tcPr>
                <w:p>
                  <w:pPr>
                    <w:jc w:val="center"/>
                    <w:rPr>
                      <w:rFonts w:ascii="Times New Roman" w:hAnsi="Times New Roman" w:cs="Times New Roman"/>
                      <w:spacing w:val="8"/>
                      <w:szCs w:val="20"/>
                    </w:rPr>
                  </w:pPr>
                  <w:r>
                    <w:rPr>
                      <w:rFonts w:hint="eastAsia" w:ascii="Times New Roman" w:hAnsi="Times New Roman" w:cs="Times New Roman"/>
                      <w:spacing w:val="8"/>
                      <w:szCs w:val="20"/>
                    </w:rPr>
                    <w:t>3类</w:t>
                  </w:r>
                </w:p>
              </w:tc>
              <w:tc>
                <w:tcPr>
                  <w:tcW w:w="981" w:type="pct"/>
                  <w:tcBorders>
                    <w:tl2br w:val="nil"/>
                    <w:tr2bl w:val="nil"/>
                  </w:tcBorders>
                  <w:vAlign w:val="center"/>
                </w:tcPr>
                <w:p>
                  <w:pPr>
                    <w:jc w:val="center"/>
                    <w:rPr>
                      <w:rFonts w:ascii="Times New Roman" w:hAnsi="Times New Roman" w:cs="Times New Roman"/>
                      <w:spacing w:val="8"/>
                      <w:szCs w:val="20"/>
                    </w:rPr>
                  </w:pPr>
                  <w:r>
                    <w:rPr>
                      <w:rFonts w:hint="eastAsia" w:ascii="Times New Roman" w:hAnsi="Times New Roman" w:cs="Times New Roman"/>
                      <w:spacing w:val="8"/>
                      <w:szCs w:val="20"/>
                    </w:rPr>
                    <w:t>65</w:t>
                  </w:r>
                </w:p>
              </w:tc>
              <w:tc>
                <w:tcPr>
                  <w:tcW w:w="924" w:type="pct"/>
                  <w:tcBorders>
                    <w:tl2br w:val="nil"/>
                    <w:tr2bl w:val="nil"/>
                  </w:tcBorders>
                  <w:vAlign w:val="center"/>
                </w:tcPr>
                <w:p>
                  <w:pPr>
                    <w:jc w:val="center"/>
                    <w:rPr>
                      <w:rFonts w:ascii="Times New Roman" w:hAnsi="Times New Roman" w:cs="Times New Roman"/>
                      <w:spacing w:val="8"/>
                      <w:szCs w:val="20"/>
                    </w:rPr>
                  </w:pPr>
                  <w:r>
                    <w:rPr>
                      <w:rFonts w:hint="eastAsia" w:ascii="Times New Roman" w:hAnsi="Times New Roman" w:cs="Times New Roman"/>
                      <w:spacing w:val="8"/>
                      <w:szCs w:val="20"/>
                    </w:rPr>
                    <w:t>55</w:t>
                  </w: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spacing w:val="8"/>
                      <w:szCs w:val="20"/>
                    </w:rPr>
                  </w:pPr>
                  <w:r>
                    <w:rPr>
                      <w:rFonts w:ascii="Times New Roman" w:hAnsi="Times New Roman" w:cs="Times New Roman"/>
                      <w:spacing w:val="8"/>
                      <w:szCs w:val="20"/>
                    </w:rPr>
                    <w:t>GB12348-2008《工业企业厂界环境噪声排放标准》</w:t>
                  </w:r>
                </w:p>
              </w:tc>
            </w:tr>
          </w:tbl>
          <w:p>
            <w:pPr>
              <w:spacing w:line="240" w:lineRule="auto"/>
              <w:ind w:firstLine="482"/>
              <w:rPr>
                <w:rFonts w:ascii="Times New Roman" w:hAnsi="Times New Roman" w:cs="Times New Roman"/>
                <w:b/>
                <w:bCs/>
                <w:sz w:val="24"/>
              </w:rPr>
            </w:pPr>
          </w:p>
          <w:p>
            <w:pPr>
              <w:spacing w:line="360" w:lineRule="auto"/>
              <w:ind w:firstLine="482"/>
              <w:rPr>
                <w:rFonts w:ascii="Times New Roman" w:hAnsi="Times New Roman" w:cs="Times New Roman"/>
                <w:b/>
                <w:bCs/>
                <w:sz w:val="24"/>
              </w:rPr>
            </w:pPr>
            <w:r>
              <w:rPr>
                <w:rFonts w:ascii="Times New Roman" w:hAnsi="Times New Roman" w:cs="Times New Roman"/>
                <w:b/>
                <w:bCs/>
                <w:sz w:val="24"/>
              </w:rPr>
              <w:t>4、固体废物</w:t>
            </w:r>
          </w:p>
          <w:p>
            <w:pPr>
              <w:spacing w:line="360" w:lineRule="auto"/>
              <w:ind w:firstLine="482"/>
              <w:rPr>
                <w:rFonts w:ascii="Times New Roman" w:hAnsi="Times New Roman" w:cs="Times New Roman"/>
                <w:b/>
                <w:bCs/>
                <w:sz w:val="24"/>
              </w:rPr>
            </w:pPr>
            <w:r>
              <w:rPr>
                <w:rFonts w:hint="eastAsia"/>
                <w:iCs/>
                <w:sz w:val="24"/>
              </w:rPr>
              <w:t>本项目一般固体废物执行</w:t>
            </w:r>
            <w:r>
              <w:rPr>
                <w:rFonts w:hint="eastAsia"/>
                <w:kern w:val="0"/>
                <w:sz w:val="24"/>
              </w:rPr>
              <w:t>《一般工业固体废物贮存和填埋污染控制标准》（GB18599-2020）</w:t>
            </w:r>
            <w:r>
              <w:rPr>
                <w:rFonts w:hint="eastAsia"/>
                <w:iCs/>
                <w:sz w:val="24"/>
              </w:rPr>
              <w:t>标准。</w:t>
            </w:r>
          </w:p>
          <w:p>
            <w:pPr>
              <w:spacing w:line="360" w:lineRule="auto"/>
              <w:ind w:firstLine="482"/>
              <w:rPr>
                <w:rFonts w:ascii="Times New Roman" w:hAnsi="Times New Roman" w:cs="Times New Roman"/>
                <w:b/>
                <w:bCs/>
                <w:sz w:val="24"/>
              </w:rPr>
            </w:pPr>
            <w:r>
              <w:rPr>
                <w:rFonts w:ascii="宋体" w:hAnsi="宋体"/>
                <w:bCs/>
                <w:spacing w:val="-6"/>
                <w:sz w:val="24"/>
              </w:rPr>
              <w:t>本项目</w:t>
            </w:r>
            <w:r>
              <w:rPr>
                <w:rFonts w:hint="eastAsia" w:ascii="宋体" w:hAnsi="宋体"/>
                <w:iCs/>
                <w:spacing w:val="-6"/>
                <w:sz w:val="24"/>
              </w:rPr>
              <w:t>危险废物贮存执行《危险废物贮存污染控制标准》（GB18597-2001）</w:t>
            </w:r>
            <w:r>
              <w:rPr>
                <w:rFonts w:hint="eastAsia" w:ascii="宋体" w:hAnsi="宋体"/>
                <w:iCs/>
                <w:sz w:val="24"/>
              </w:rPr>
              <w:t>及2013年修改单。</w:t>
            </w:r>
          </w:p>
          <w:p>
            <w:pPr>
              <w:keepNext w:val="0"/>
              <w:keepLines w:val="0"/>
              <w:pageBreakBefore w:val="0"/>
              <w:widowControl w:val="0"/>
              <w:kinsoku/>
              <w:wordWrap/>
              <w:overflowPunct/>
              <w:topLinePunct w:val="0"/>
              <w:autoSpaceDE/>
              <w:autoSpaceDN/>
              <w:bidi w:val="0"/>
              <w:adjustRightInd/>
              <w:snapToGrid/>
              <w:spacing w:line="200" w:lineRule="exact"/>
              <w:ind w:firstLine="482"/>
              <w:textAlignment w:val="auto"/>
              <w:rPr>
                <w:rFonts w:ascii="Times New Roman" w:hAnsi="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9" w:hRule="atLeast"/>
        </w:trPr>
        <w:tc>
          <w:tcPr>
            <w:tcW w:w="730" w:type="dxa"/>
            <w:vAlign w:val="center"/>
          </w:tcPr>
          <w:p>
            <w:pPr>
              <w:snapToGrid w:val="0"/>
              <w:jc w:val="center"/>
            </w:pPr>
          </w:p>
          <w:p>
            <w:pPr>
              <w:snapToGrid w:val="0"/>
              <w:jc w:val="center"/>
            </w:pPr>
          </w:p>
          <w:p>
            <w:pPr>
              <w:snapToGrid w:val="0"/>
              <w:jc w:val="center"/>
            </w:pPr>
            <w:r>
              <w:rPr>
                <w:sz w:val="24"/>
              </w:rPr>
              <w:t>总量控制指标</w:t>
            </w:r>
          </w:p>
          <w:p>
            <w:pPr>
              <w:pStyle w:val="20"/>
            </w:pPr>
          </w:p>
          <w:p/>
        </w:tc>
        <w:tc>
          <w:tcPr>
            <w:tcW w:w="7990" w:type="dxa"/>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bCs/>
                <w:iCs/>
                <w:sz w:val="24"/>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bCs/>
                <w:iCs/>
                <w:sz w:val="24"/>
                <w:u w:val="single"/>
              </w:rPr>
            </w:pPr>
            <w:r>
              <w:rPr>
                <w:rFonts w:hint="eastAsia"/>
                <w:bCs/>
                <w:iCs/>
                <w:sz w:val="24"/>
                <w:u w:val="single"/>
              </w:rPr>
              <w:t>根据吉林省生态环境厅2022年5月10日出具的《关于进一步明确建设项目主要污染物排放总量审核有关事宜的复函》相关内容，“执行其他行业排放管理的建设项目包括除重点行业外、仅含有按照《排污许可证申请与核发技术规范》确定的一般排放口或无排污口的建设项目”；“其他行业因排污量很少或基本不新增排污量，在环评审批过程中予以豁免主要污染物总量审核。各级环评审批部门应自行建立统计台账，纳入环境管理”</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iCs/>
                <w:sz w:val="24"/>
                <w:u w:val="single"/>
              </w:rPr>
            </w:pPr>
            <w:r>
              <w:rPr>
                <w:rFonts w:hint="eastAsia"/>
                <w:bCs/>
                <w:iCs/>
                <w:sz w:val="24"/>
                <w:u w:val="single"/>
              </w:rPr>
              <w:t>本项目国民经济行业类别为“C42废弃资源综合利用业”，不属于石化、煤化工、燃煤发电、钢铁、有色金属冶炼、建材、造纸纸浆、印染、集中供热等执行重点行业排放管理的建设项目；本项目不涉及主要排放口，不属于执行一般行业排放管理的建设项目；本项目属于除重点行业外、仅含有按照《排污许可证申请与核发技术规范》确定的一般排放口的建设项目，故本项目属于执行其他行业排放管理的建设项目。</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bCs/>
                <w:iCs/>
                <w:color w:val="auto"/>
                <w:sz w:val="24"/>
                <w:u w:val="single"/>
              </w:rPr>
            </w:pPr>
            <w:r>
              <w:rPr>
                <w:rFonts w:hint="eastAsia"/>
                <w:bCs/>
                <w:iCs/>
                <w:color w:val="auto"/>
                <w:sz w:val="24"/>
                <w:u w:val="single"/>
              </w:rPr>
              <w:t>根据吉林省生态环境厅《关于进一步明确建设项目主要污染物排放总量审核有关事宜的复函》相关内容，本项目在环评审批过程中予以豁免主要污染物总量审核，应自行建立统计台账，纳入环境管理。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Cs/>
                <w:iCs/>
                <w:color w:val="auto"/>
                <w:sz w:val="24"/>
                <w:u w:val="single"/>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3"/>
              <w:rPr>
                <w:rFonts w:hint="eastAsia"/>
                <w:bCs/>
                <w:iCs/>
                <w:color w:val="auto"/>
                <w:sz w:val="24"/>
                <w:u w:val="single"/>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Cs/>
                <w:iCs/>
                <w:color w:val="auto"/>
                <w:sz w:val="24"/>
                <w:u w:val="single"/>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Cs/>
                <w:iCs/>
                <w:color w:val="auto"/>
                <w:sz w:val="24"/>
                <w:u w:val="single"/>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highlight w:val="yellow"/>
              </w:rPr>
            </w:pPr>
          </w:p>
        </w:tc>
      </w:tr>
    </w:tbl>
    <w:p>
      <w:pPr>
        <w:pStyle w:val="2"/>
        <w:ind w:firstLine="600"/>
        <w:jc w:val="center"/>
        <w:outlineLvl w:val="0"/>
        <w:rPr>
          <w:rFonts w:ascii="Times New Roman" w:hAnsi="Times New Roman" w:eastAsia="宋体" w:cs="Times New Roman"/>
          <w:b/>
          <w:bCs/>
          <w:sz w:val="24"/>
          <w:szCs w:val="18"/>
          <w:highlight w:val="yellow"/>
        </w:rPr>
      </w:pPr>
      <w:r>
        <w:rPr>
          <w:rFonts w:ascii="Times New Roman" w:hAnsi="Times New Roman" w:eastAsia="宋体" w:cs="Times New Roman"/>
          <w:color w:val="auto"/>
          <w:sz w:val="30"/>
          <w:szCs w:val="30"/>
          <w:highlight w:val="yellow"/>
        </w:rPr>
        <w:br w:type="column"/>
      </w:r>
      <w:r>
        <w:rPr>
          <w:rFonts w:ascii="Times New Roman" w:hAnsi="Times New Roman" w:eastAsia="宋体" w:cs="Times New Roman"/>
          <w:b/>
          <w:bCs/>
          <w:color w:val="auto"/>
          <w:szCs w:val="28"/>
        </w:rPr>
        <w:t>四、主要环境影响和保护措施</w:t>
      </w:r>
    </w:p>
    <w:tbl>
      <w:tblPr>
        <w:tblStyle w:val="26"/>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096"/>
        <w:gridCol w:w="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dxa"/>
        </w:trPr>
        <w:tc>
          <w:tcPr>
            <w:tcW w:w="6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 w:val="24"/>
              </w:rPr>
              <w:t>施工期环境保护措施</w:t>
            </w:r>
          </w:p>
        </w:tc>
        <w:tc>
          <w:tcPr>
            <w:tcW w:w="8096" w:type="dxa"/>
          </w:tcPr>
          <w:p>
            <w:pPr>
              <w:adjustRightInd w:val="0"/>
              <w:snapToGrid w:val="0"/>
              <w:spacing w:line="480" w:lineRule="exact"/>
              <w:ind w:firstLine="480" w:firstLineChars="200"/>
              <w:rPr>
                <w:rFonts w:ascii="宋体" w:hAnsi="宋体" w:eastAsia="宋体" w:cs="宋体"/>
                <w:sz w:val="24"/>
                <w:u w:val="single"/>
              </w:rPr>
            </w:pPr>
            <w:r>
              <w:rPr>
                <w:rFonts w:hint="eastAsia" w:ascii="宋体" w:hAnsi="宋体" w:eastAsia="宋体" w:cs="宋体"/>
                <w:sz w:val="24"/>
                <w:u w:val="single"/>
              </w:rPr>
              <w:t>本项目施工期主要内容包括：利用现有厂房进行拆解车间、危险废物暂存间等厂房改造，以及利用现有一般硬化地面完善拆解车间和危险废物暂存间地面及裙角的防渗处理等工程。</w:t>
            </w:r>
          </w:p>
          <w:p>
            <w:pPr>
              <w:adjustRightInd w:val="0"/>
              <w:snapToGrid w:val="0"/>
              <w:spacing w:line="480" w:lineRule="exact"/>
              <w:ind w:firstLine="480" w:firstLineChars="200"/>
              <w:rPr>
                <w:rFonts w:ascii="宋体" w:hAnsi="宋体" w:eastAsia="宋体" w:cs="宋体"/>
                <w:sz w:val="24"/>
                <w:u w:val="single"/>
              </w:rPr>
            </w:pPr>
            <w:r>
              <w:rPr>
                <w:rFonts w:hint="eastAsia" w:ascii="宋体" w:hAnsi="宋体" w:eastAsia="宋体" w:cs="宋体"/>
                <w:sz w:val="24"/>
                <w:u w:val="single"/>
              </w:rPr>
              <w:t>施工期间主要环境保护措施如下：</w:t>
            </w:r>
          </w:p>
          <w:p>
            <w:pPr>
              <w:adjustRightInd w:val="0"/>
              <w:snapToGrid w:val="0"/>
              <w:spacing w:line="480" w:lineRule="exact"/>
              <w:ind w:firstLine="482" w:firstLineChars="200"/>
              <w:rPr>
                <w:rFonts w:ascii="宋体" w:hAnsi="宋体" w:eastAsia="宋体" w:cs="宋体"/>
                <w:b/>
                <w:bCs/>
                <w:sz w:val="24"/>
                <w:u w:val="single"/>
              </w:rPr>
            </w:pPr>
            <w:r>
              <w:rPr>
                <w:rFonts w:hint="eastAsia" w:ascii="宋体" w:hAnsi="宋体" w:eastAsia="宋体" w:cs="宋体"/>
                <w:b/>
                <w:bCs/>
                <w:sz w:val="24"/>
                <w:u w:val="single"/>
              </w:rPr>
              <w:t>1、废水污染防治措施</w:t>
            </w:r>
          </w:p>
          <w:p>
            <w:pPr>
              <w:pStyle w:val="12"/>
              <w:spacing w:line="480" w:lineRule="exact"/>
              <w:ind w:left="0" w:leftChars="0" w:firstLine="480" w:firstLineChars="200"/>
              <w:rPr>
                <w:rFonts w:ascii="宋体" w:hAnsi="宋体" w:eastAsia="宋体" w:cs="宋体"/>
                <w:sz w:val="24"/>
                <w:u w:val="single"/>
              </w:rPr>
            </w:pPr>
            <w:r>
              <w:rPr>
                <w:rFonts w:hint="eastAsia" w:ascii="宋体" w:hAnsi="宋体" w:eastAsia="宋体" w:cs="宋体"/>
                <w:sz w:val="24"/>
                <w:u w:val="single"/>
              </w:rPr>
              <w:t>施工产生的泥浆或含有砂石的工程废水，废水中SS的产生浓度约为1000-1200mg/L；未经沉淀不得排放。要经过沉淀池采取澄清措施，上清液部分回用，沉淀下的泥浆和固体废弃物，应与建筑渣土一起处置，不得混入生活垃圾中。施工生活污水来自施工期进场的管理人员和施工人员。生活污水的主要污染控制指标是BOD5、COD、NH3-N、SS等，排入</w:t>
            </w:r>
            <w:r>
              <w:rPr>
                <w:rFonts w:hint="eastAsia" w:ascii="宋体" w:hAnsi="宋体" w:eastAsia="宋体" w:cs="宋体"/>
                <w:sz w:val="24"/>
                <w:u w:val="single"/>
                <w:lang w:eastAsia="zh-CN"/>
              </w:rPr>
              <w:t>厂区现有污水管网不外排</w:t>
            </w:r>
            <w:r>
              <w:rPr>
                <w:rFonts w:hint="eastAsia" w:ascii="宋体" w:hAnsi="宋体" w:eastAsia="宋体" w:cs="宋体"/>
                <w:sz w:val="24"/>
                <w:u w:val="single"/>
              </w:rPr>
              <w:t>。施工废水经沉淀后，回用于施工降尘等，预计不会对水环境造成危害性影响。</w:t>
            </w:r>
          </w:p>
          <w:p>
            <w:pPr>
              <w:adjustRightInd w:val="0"/>
              <w:snapToGrid w:val="0"/>
              <w:spacing w:line="480" w:lineRule="exact"/>
              <w:ind w:firstLine="482" w:firstLineChars="200"/>
              <w:rPr>
                <w:rFonts w:ascii="宋体" w:hAnsi="宋体" w:eastAsia="宋体" w:cs="宋体"/>
                <w:b/>
                <w:bCs/>
                <w:sz w:val="24"/>
                <w:u w:val="single"/>
              </w:rPr>
            </w:pPr>
            <w:r>
              <w:rPr>
                <w:rFonts w:hint="eastAsia" w:ascii="宋体" w:hAnsi="宋体" w:eastAsia="宋体" w:cs="宋体"/>
                <w:b/>
                <w:bCs/>
                <w:sz w:val="24"/>
                <w:u w:val="single"/>
              </w:rPr>
              <w:t>2、废气污染防治措施</w:t>
            </w:r>
          </w:p>
          <w:p>
            <w:pPr>
              <w:pStyle w:val="2"/>
              <w:spacing w:line="480" w:lineRule="exact"/>
              <w:ind w:firstLine="480"/>
              <w:rPr>
                <w:rFonts w:eastAsia="宋体"/>
                <w:color w:val="auto"/>
                <w:sz w:val="24"/>
                <w:szCs w:val="24"/>
                <w:u w:val="single"/>
              </w:rPr>
            </w:pPr>
            <w:r>
              <w:rPr>
                <w:rFonts w:hint="eastAsia" w:eastAsia="宋体"/>
                <w:color w:val="auto"/>
                <w:sz w:val="24"/>
                <w:szCs w:val="24"/>
                <w:u w:val="single"/>
              </w:rPr>
              <w:t>根据《大气污染防治法》、《大气污染防治行动计划》、《吉林省清洁空气行动计划》等环保要求，建筑施工工程要实施绿色施工，严格实施建筑施工标准化管理，全面实现施工场地全围挡、严禁敞开式作业、工地物料全覆盖、施工现场路面全硬化、密目网全包围、渣土运输车辆全封闭、严查渣土车沿途洒落。具体措施如下：</w:t>
            </w:r>
          </w:p>
          <w:p>
            <w:pPr>
              <w:pStyle w:val="108"/>
              <w:spacing w:line="480" w:lineRule="exact"/>
              <w:ind w:firstLine="480" w:firstLineChars="200"/>
              <w:rPr>
                <w:rFonts w:cs="宋体"/>
                <w:iCs/>
                <w:u w:val="single"/>
              </w:rPr>
            </w:pPr>
            <w:r>
              <w:rPr>
                <w:rFonts w:hint="eastAsia" w:cs="宋体"/>
                <w:iCs/>
                <w:u w:val="single"/>
              </w:rPr>
              <w:t>（1）建设单位应在工程概算中设立用于扬尘污染控制的专项资金，并保证此项资金专款专用；</w:t>
            </w:r>
          </w:p>
          <w:p>
            <w:pPr>
              <w:pStyle w:val="108"/>
              <w:spacing w:line="480" w:lineRule="exact"/>
              <w:ind w:firstLine="480" w:firstLineChars="200"/>
              <w:rPr>
                <w:rFonts w:cs="宋体"/>
                <w:iCs/>
                <w:u w:val="single"/>
              </w:rPr>
            </w:pPr>
            <w:r>
              <w:rPr>
                <w:rFonts w:hint="eastAsia" w:cs="宋体"/>
                <w:iCs/>
                <w:u w:val="single"/>
              </w:rPr>
              <w:t>（2）在施工过程中，作业场地应采取围挡、围护以减少扬尘扩散，围挡、围护对减少扬尘和环境的污染有明显作用，当风速为2.5m/s时可使影响距离缩短40%。建议设置不低于2.5m高的围挡，并做到坚固美观。</w:t>
            </w:r>
          </w:p>
          <w:p>
            <w:pPr>
              <w:pStyle w:val="108"/>
              <w:spacing w:line="480" w:lineRule="exact"/>
              <w:ind w:firstLine="480" w:firstLineChars="200"/>
              <w:rPr>
                <w:rFonts w:cs="宋体"/>
                <w:iCs/>
                <w:u w:val="single"/>
              </w:rPr>
            </w:pPr>
            <w:r>
              <w:rPr>
                <w:rFonts w:hint="eastAsia" w:cs="宋体"/>
                <w:iCs/>
                <w:u w:val="single"/>
              </w:rPr>
              <w:t>（3）在施工场地安排员工定期对施工场地洒水以减少扬尘量，洒水次数根据天气状况而定。一般每天洒水1～2次；若遇到大风或干燥天气可适当增加洒水次数。施工场地洒水与否对扬尘的影响较大，场地洒水后，扬尘量将减低28%～75%，大大减少了其对环境的影响。</w:t>
            </w:r>
          </w:p>
          <w:p>
            <w:pPr>
              <w:pStyle w:val="108"/>
              <w:spacing w:line="480" w:lineRule="exact"/>
              <w:ind w:firstLine="480" w:firstLineChars="200"/>
              <w:rPr>
                <w:rFonts w:cs="宋体"/>
                <w:iCs/>
                <w:u w:val="single"/>
              </w:rPr>
            </w:pPr>
            <w:r>
              <w:rPr>
                <w:rFonts w:hint="eastAsia" w:cs="宋体"/>
                <w:iCs/>
                <w:u w:val="single"/>
              </w:rPr>
              <w:t>（4）主要的运输道路应当及时清扫，并用洒水车定时对地面洒水，以减少车辆行驶时的卷挟扬尘量；对运输建筑材料及建筑垃圾的车辆加盖蓬布减少洒落。同时，车辆行驶路线应尽量避开居民区和交通要道。</w:t>
            </w:r>
          </w:p>
          <w:p>
            <w:pPr>
              <w:pStyle w:val="108"/>
              <w:spacing w:line="480" w:lineRule="exact"/>
              <w:ind w:firstLine="480" w:firstLineChars="200"/>
              <w:rPr>
                <w:rFonts w:cs="宋体"/>
                <w:iCs/>
                <w:u w:val="single"/>
              </w:rPr>
            </w:pPr>
            <w:r>
              <w:rPr>
                <w:rFonts w:hint="eastAsia" w:cs="宋体"/>
                <w:iCs/>
                <w:u w:val="single"/>
              </w:rPr>
              <w:t>（5）在施工场地上设置专人负责建筑材料、弃土和建筑垃圾的堆放、处置和清运，水泥等易产生扬尘的物料应有简易仓库储存；易产生扬尘的物料应加盖蓬布或洒水，防止二次扬尘。对建筑垃圾及弃土应及时处理、清运、以减少占地，防止扬尘污染，改善施工场地的环境。</w:t>
            </w:r>
          </w:p>
          <w:p>
            <w:pPr>
              <w:pStyle w:val="108"/>
              <w:spacing w:line="480" w:lineRule="exact"/>
              <w:ind w:firstLine="480" w:firstLineChars="200"/>
              <w:rPr>
                <w:rFonts w:cs="宋体"/>
                <w:iCs/>
                <w:u w:val="single"/>
              </w:rPr>
            </w:pPr>
            <w:r>
              <w:rPr>
                <w:rFonts w:hint="eastAsia" w:cs="宋体"/>
                <w:iCs/>
                <w:u w:val="single"/>
              </w:rPr>
              <w:t>（6）使用商品混凝土，并避免在大风天气情况下进行施工作业。</w:t>
            </w:r>
          </w:p>
          <w:p>
            <w:pPr>
              <w:adjustRightInd w:val="0"/>
              <w:snapToGrid w:val="0"/>
              <w:spacing w:line="480" w:lineRule="exact"/>
              <w:ind w:firstLine="482" w:firstLineChars="200"/>
              <w:rPr>
                <w:rFonts w:ascii="宋体" w:hAnsi="宋体" w:eastAsia="宋体" w:cs="宋体"/>
                <w:b/>
                <w:sz w:val="24"/>
                <w:u w:val="single"/>
              </w:rPr>
            </w:pPr>
            <w:r>
              <w:rPr>
                <w:rFonts w:hint="eastAsia" w:ascii="宋体" w:hAnsi="宋体" w:eastAsia="宋体" w:cs="宋体"/>
                <w:b/>
                <w:sz w:val="24"/>
                <w:u w:val="single"/>
              </w:rPr>
              <w:t>3、噪声污染防治措施</w:t>
            </w:r>
          </w:p>
          <w:p>
            <w:pPr>
              <w:pStyle w:val="12"/>
              <w:snapToGrid w:val="0"/>
              <w:spacing w:line="480" w:lineRule="exact"/>
              <w:ind w:left="0" w:leftChars="0" w:firstLine="470" w:firstLineChars="195"/>
              <w:rPr>
                <w:rFonts w:ascii="宋体" w:hAnsi="宋体" w:eastAsia="宋体" w:cs="宋体"/>
                <w:b/>
                <w:bCs/>
                <w:sz w:val="24"/>
                <w:u w:val="single"/>
              </w:rPr>
            </w:pPr>
            <w:r>
              <w:rPr>
                <w:rFonts w:hint="eastAsia" w:ascii="宋体" w:hAnsi="宋体" w:eastAsia="宋体" w:cs="宋体"/>
                <w:b/>
                <w:bCs/>
                <w:sz w:val="24"/>
                <w:u w:val="single"/>
              </w:rPr>
              <w:t>（1）施工机械设备的选用</w:t>
            </w:r>
          </w:p>
          <w:p>
            <w:pPr>
              <w:pStyle w:val="12"/>
              <w:snapToGrid w:val="0"/>
              <w:spacing w:line="480" w:lineRule="exact"/>
              <w:ind w:left="0" w:leftChars="0" w:firstLine="480" w:firstLineChars="200"/>
              <w:rPr>
                <w:rFonts w:ascii="宋体" w:hAnsi="宋体" w:eastAsia="宋体" w:cs="宋体"/>
                <w:sz w:val="24"/>
                <w:u w:val="single"/>
              </w:rPr>
            </w:pPr>
            <w:r>
              <w:rPr>
                <w:rFonts w:hint="eastAsia" w:ascii="宋体" w:hAnsi="宋体" w:eastAsia="宋体" w:cs="宋体"/>
                <w:sz w:val="24"/>
                <w:u w:val="single"/>
              </w:rPr>
              <w:t>本项目施工期间施工单位应首先选用低噪声的设备，从源头上削减噪声；并应经常维修保养，使施工设备保持正常运转；同时，定期检验设备的噪声声级，以便有效地缩小施工期的噪声影响范围。</w:t>
            </w:r>
          </w:p>
          <w:p>
            <w:pPr>
              <w:pStyle w:val="12"/>
              <w:snapToGrid w:val="0"/>
              <w:spacing w:line="480" w:lineRule="exact"/>
              <w:ind w:left="0" w:leftChars="0" w:firstLine="470" w:firstLineChars="195"/>
              <w:rPr>
                <w:rFonts w:ascii="宋体" w:hAnsi="宋体" w:eastAsia="宋体" w:cs="宋体"/>
                <w:b/>
                <w:bCs/>
                <w:sz w:val="24"/>
                <w:u w:val="single"/>
              </w:rPr>
            </w:pPr>
            <w:r>
              <w:rPr>
                <w:rFonts w:hint="eastAsia" w:ascii="宋体" w:hAnsi="宋体" w:eastAsia="宋体" w:cs="宋体"/>
                <w:b/>
                <w:bCs/>
                <w:sz w:val="24"/>
                <w:u w:val="single"/>
              </w:rPr>
              <w:t>（2）减少作业噪声</w:t>
            </w:r>
          </w:p>
          <w:p>
            <w:pPr>
              <w:pStyle w:val="12"/>
              <w:snapToGrid w:val="0"/>
              <w:spacing w:line="480" w:lineRule="exact"/>
              <w:ind w:left="0" w:leftChars="0" w:firstLine="480" w:firstLineChars="200"/>
              <w:rPr>
                <w:rFonts w:ascii="宋体" w:hAnsi="宋体" w:eastAsia="宋体" w:cs="宋体"/>
                <w:sz w:val="24"/>
                <w:u w:val="single"/>
              </w:rPr>
            </w:pPr>
            <w:r>
              <w:rPr>
                <w:rFonts w:hint="eastAsia" w:ascii="宋体" w:hAnsi="宋体" w:eastAsia="宋体" w:cs="宋体"/>
                <w:sz w:val="24"/>
                <w:u w:val="single"/>
              </w:rPr>
              <w:t>施工部门应统筹安排好施工时间，尽量避免高噪声设备同时、同点作业，以减少作业时的噪声声级。</w:t>
            </w:r>
          </w:p>
          <w:p>
            <w:pPr>
              <w:pStyle w:val="12"/>
              <w:snapToGrid w:val="0"/>
              <w:spacing w:line="480" w:lineRule="exact"/>
              <w:ind w:left="0" w:leftChars="0" w:firstLine="470" w:firstLineChars="195"/>
              <w:rPr>
                <w:rFonts w:ascii="宋体" w:hAnsi="宋体" w:eastAsia="宋体" w:cs="宋体"/>
                <w:b/>
                <w:bCs/>
                <w:sz w:val="24"/>
                <w:u w:val="single"/>
              </w:rPr>
            </w:pPr>
            <w:r>
              <w:rPr>
                <w:rFonts w:hint="eastAsia" w:ascii="宋体" w:hAnsi="宋体" w:eastAsia="宋体" w:cs="宋体"/>
                <w:b/>
                <w:bCs/>
                <w:sz w:val="24"/>
                <w:u w:val="single"/>
              </w:rPr>
              <w:t>（3）施工时间的安排</w:t>
            </w:r>
          </w:p>
          <w:p>
            <w:pPr>
              <w:pStyle w:val="12"/>
              <w:snapToGrid w:val="0"/>
              <w:spacing w:line="480" w:lineRule="exact"/>
              <w:ind w:left="0" w:leftChars="0" w:firstLine="480" w:firstLineChars="200"/>
              <w:rPr>
                <w:rFonts w:ascii="宋体" w:hAnsi="宋体" w:eastAsia="宋体" w:cs="宋体"/>
                <w:sz w:val="24"/>
                <w:u w:val="single"/>
              </w:rPr>
            </w:pPr>
            <w:r>
              <w:rPr>
                <w:rFonts w:hint="eastAsia" w:ascii="宋体" w:hAnsi="宋体" w:eastAsia="宋体" w:cs="宋体"/>
                <w:sz w:val="24"/>
                <w:u w:val="single"/>
              </w:rPr>
              <w:t>施工时间尽量安排在昼间，避免施工设备噪声夜间运行影响周边环境，减少对周围环境的影响。</w:t>
            </w:r>
          </w:p>
          <w:p>
            <w:pPr>
              <w:adjustRightInd w:val="0"/>
              <w:snapToGrid w:val="0"/>
              <w:spacing w:line="480" w:lineRule="exact"/>
              <w:ind w:firstLine="482" w:firstLineChars="200"/>
              <w:rPr>
                <w:rFonts w:ascii="宋体" w:hAnsi="宋体" w:eastAsia="宋体" w:cs="宋体"/>
                <w:b/>
                <w:sz w:val="24"/>
                <w:u w:val="single"/>
              </w:rPr>
            </w:pPr>
            <w:r>
              <w:rPr>
                <w:rFonts w:hint="eastAsia" w:ascii="宋体" w:hAnsi="宋体" w:eastAsia="宋体" w:cs="宋体"/>
                <w:b/>
                <w:sz w:val="24"/>
                <w:u w:val="single"/>
              </w:rPr>
              <w:t>4、固体废物污染防治措施</w:t>
            </w:r>
          </w:p>
          <w:p>
            <w:pPr>
              <w:adjustRightInd w:val="0"/>
              <w:snapToGrid w:val="0"/>
              <w:spacing w:line="480" w:lineRule="exact"/>
              <w:ind w:firstLine="480" w:firstLineChars="200"/>
              <w:rPr>
                <w:rFonts w:ascii="宋体" w:hAnsi="宋体" w:eastAsia="宋体" w:cs="宋体"/>
                <w:bCs/>
                <w:sz w:val="24"/>
                <w:u w:val="single"/>
              </w:rPr>
            </w:pPr>
            <w:r>
              <w:rPr>
                <w:rFonts w:hint="eastAsia" w:ascii="宋体" w:hAnsi="宋体" w:eastAsia="宋体" w:cs="宋体"/>
                <w:bCs/>
                <w:sz w:val="24"/>
                <w:u w:val="single"/>
              </w:rPr>
              <w:t>（1）施工人员生活垃圾使用垃圾桶暂存，由环卫部门处理；</w:t>
            </w:r>
          </w:p>
          <w:p>
            <w:pPr>
              <w:adjustRightInd w:val="0"/>
              <w:snapToGrid w:val="0"/>
              <w:spacing w:line="480" w:lineRule="exact"/>
              <w:ind w:firstLine="480" w:firstLineChars="200"/>
              <w:rPr>
                <w:rFonts w:ascii="宋体" w:hAnsi="宋体" w:eastAsia="宋体" w:cs="宋体"/>
                <w:bCs/>
                <w:sz w:val="24"/>
                <w:u w:val="single"/>
              </w:rPr>
            </w:pPr>
            <w:r>
              <w:rPr>
                <w:rFonts w:hint="eastAsia" w:ascii="宋体" w:hAnsi="宋体" w:eastAsia="宋体" w:cs="宋体"/>
                <w:bCs/>
                <w:sz w:val="24"/>
                <w:u w:val="single"/>
              </w:rPr>
              <w:t>（2）废包装物外售废品回收单位；</w:t>
            </w:r>
          </w:p>
          <w:p>
            <w:pPr>
              <w:adjustRightInd w:val="0"/>
              <w:snapToGrid w:val="0"/>
              <w:spacing w:line="480" w:lineRule="exact"/>
              <w:ind w:firstLine="480" w:firstLineChars="200"/>
              <w:rPr>
                <w:rFonts w:ascii="宋体" w:hAnsi="宋体" w:eastAsia="宋体" w:cs="宋体"/>
                <w:b/>
                <w:sz w:val="24"/>
              </w:rPr>
            </w:pPr>
            <w:r>
              <w:rPr>
                <w:rFonts w:hint="eastAsia" w:ascii="宋体" w:hAnsi="宋体" w:eastAsia="宋体" w:cs="宋体"/>
                <w:bCs/>
                <w:sz w:val="24"/>
                <w:u w:val="single"/>
              </w:rPr>
              <w:t>（3）施工过程中产生的少量的建筑垃圾，可利用部分尽量回用，用于建设回填，不可利用部分运至当地建设部门指定地点，不得随意丢弃。</w:t>
            </w:r>
          </w:p>
          <w:p>
            <w:pPr>
              <w:adjustRightInd w:val="0"/>
              <w:snapToGrid w:val="0"/>
              <w:spacing w:line="360" w:lineRule="auto"/>
              <w:ind w:firstLine="482" w:firstLineChars="200"/>
              <w:rPr>
                <w:rFonts w:ascii="宋体" w:hAnsi="宋体" w:eastAsia="宋体" w:cs="宋体"/>
                <w:b/>
                <w:sz w:val="24"/>
              </w:rPr>
            </w:pPr>
          </w:p>
          <w:p>
            <w:pPr>
              <w:adjustRightInd w:val="0"/>
              <w:snapToGrid w:val="0"/>
              <w:spacing w:line="360" w:lineRule="auto"/>
              <w:ind w:firstLine="482" w:firstLineChars="200"/>
              <w:rPr>
                <w:rFonts w:ascii="宋体" w:hAnsi="宋体" w:eastAsia="宋体" w:cs="宋体"/>
                <w:b/>
                <w:sz w:val="24"/>
              </w:rPr>
            </w:pPr>
          </w:p>
          <w:p>
            <w:pPr>
              <w:adjustRightInd w:val="0"/>
              <w:snapToGrid w:val="0"/>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8" w:hRule="atLeast"/>
        </w:trPr>
        <w:tc>
          <w:tcPr>
            <w:tcW w:w="660" w:type="dxa"/>
            <w:vAlign w:val="center"/>
          </w:tcPr>
          <w:p>
            <w:pPr>
              <w:snapToGrid w:val="0"/>
              <w:spacing w:line="360" w:lineRule="auto"/>
              <w:jc w:val="center"/>
              <w:rPr>
                <w:rFonts w:ascii="Times New Roman" w:hAnsi="Times New Roman" w:eastAsia="宋体" w:cs="Times New Roman"/>
                <w:szCs w:val="21"/>
                <w:highlight w:val="yellow"/>
              </w:rPr>
            </w:pPr>
            <w:r>
              <w:rPr>
                <w:rFonts w:ascii="Times New Roman" w:hAnsi="Times New Roman" w:eastAsia="宋体" w:cs="Times New Roman"/>
                <w:sz w:val="24"/>
              </w:rPr>
              <w:t>运营期环境影响和保护措施</w:t>
            </w:r>
          </w:p>
        </w:tc>
        <w:tc>
          <w:tcPr>
            <w:tcW w:w="8234" w:type="dxa"/>
            <w:gridSpan w:val="2"/>
          </w:tcPr>
          <w:p>
            <w:pPr>
              <w:widowControl/>
              <w:spacing w:line="360" w:lineRule="auto"/>
              <w:ind w:firstLine="482" w:firstLineChars="200"/>
              <w:jc w:val="left"/>
              <w:rPr>
                <w:b/>
                <w:bCs/>
                <w:sz w:val="24"/>
                <w:szCs w:val="24"/>
                <w:u w:val="single"/>
              </w:rPr>
            </w:pPr>
            <w:r>
              <w:rPr>
                <w:rFonts w:hint="eastAsia"/>
                <w:b/>
                <w:bCs/>
                <w:sz w:val="24"/>
                <w:szCs w:val="24"/>
                <w:u w:val="single"/>
                <w:lang w:eastAsia="zh-CN"/>
              </w:rPr>
              <w:t>一</w:t>
            </w:r>
            <w:r>
              <w:rPr>
                <w:b/>
                <w:bCs/>
                <w:sz w:val="24"/>
                <w:szCs w:val="24"/>
                <w:u w:val="single"/>
              </w:rPr>
              <w:t>、废水</w:t>
            </w:r>
          </w:p>
          <w:p>
            <w:pPr>
              <w:pStyle w:val="31"/>
              <w:spacing w:line="360" w:lineRule="auto"/>
              <w:ind w:firstLine="480" w:firstLineChars="200"/>
              <w:jc w:val="both"/>
              <w:rPr>
                <w:rFonts w:hint="eastAsia"/>
                <w:sz w:val="24"/>
                <w:szCs w:val="24"/>
                <w:u w:val="single"/>
              </w:rPr>
            </w:pPr>
            <w:r>
              <w:rPr>
                <w:rFonts w:hint="eastAsia"/>
                <w:sz w:val="24"/>
                <w:szCs w:val="24"/>
                <w:u w:val="single"/>
              </w:rPr>
              <w:t>（1）废水产排污情况</w:t>
            </w:r>
          </w:p>
          <w:p>
            <w:pPr>
              <w:adjustRightInd w:val="0"/>
              <w:snapToGrid w:val="0"/>
              <w:spacing w:line="360" w:lineRule="auto"/>
              <w:ind w:firstLine="480"/>
              <w:rPr>
                <w:rFonts w:hint="eastAsia"/>
                <w:b/>
                <w:bCs/>
                <w:sz w:val="24"/>
                <w:szCs w:val="24"/>
                <w:u w:val="single"/>
              </w:rPr>
            </w:pPr>
            <w:r>
              <w:rPr>
                <w:rFonts w:hint="eastAsia"/>
                <w:b/>
                <w:bCs/>
                <w:sz w:val="24"/>
                <w:szCs w:val="24"/>
                <w:u w:val="single"/>
              </w:rPr>
              <w:t>①生活污水</w:t>
            </w:r>
          </w:p>
          <w:p>
            <w:pPr>
              <w:adjustRightInd w:val="0"/>
              <w:snapToGrid w:val="0"/>
              <w:spacing w:line="360" w:lineRule="auto"/>
              <w:ind w:firstLine="480"/>
              <w:rPr>
                <w:rFonts w:hint="eastAsia"/>
                <w:sz w:val="24"/>
                <w:szCs w:val="24"/>
                <w:u w:val="single"/>
              </w:rPr>
            </w:pPr>
            <w:r>
              <w:rPr>
                <w:rFonts w:hint="eastAsia"/>
                <w:sz w:val="24"/>
                <w:szCs w:val="24"/>
                <w:u w:val="single"/>
              </w:rPr>
              <w:t>本项目职工生活用损耗按20%计，则生活污水量为0.48m³/d（</w:t>
            </w:r>
            <w:r>
              <w:rPr>
                <w:rFonts w:hint="eastAsia"/>
                <w:sz w:val="24"/>
                <w:szCs w:val="24"/>
                <w:u w:val="single"/>
                <w:lang w:val="en-US" w:eastAsia="zh-CN"/>
              </w:rPr>
              <w:t>168</w:t>
            </w:r>
            <w:r>
              <w:rPr>
                <w:rFonts w:hint="eastAsia"/>
                <w:sz w:val="24"/>
                <w:szCs w:val="24"/>
                <w:u w:val="single"/>
              </w:rPr>
              <w:t>m³/a）。生活污水水质较为简单，主要污染物为COD、BOD5、SS和氨氮，产生浓度分别为200mg/L、250mg/L、200mg/L、25mg/L。</w:t>
            </w:r>
          </w:p>
          <w:p>
            <w:pPr>
              <w:adjustRightInd w:val="0"/>
              <w:snapToGrid w:val="0"/>
              <w:spacing w:line="360" w:lineRule="auto"/>
              <w:ind w:firstLine="480"/>
              <w:rPr>
                <w:rFonts w:hint="eastAsia"/>
                <w:b/>
                <w:bCs/>
                <w:sz w:val="24"/>
                <w:szCs w:val="24"/>
                <w:u w:val="single"/>
              </w:rPr>
            </w:pPr>
            <w:r>
              <w:rPr>
                <w:rFonts w:hint="eastAsia"/>
                <w:b/>
                <w:bCs/>
                <w:sz w:val="24"/>
                <w:szCs w:val="24"/>
                <w:u w:val="single"/>
              </w:rPr>
              <w:t>②地面清洗废水</w:t>
            </w:r>
          </w:p>
          <w:p>
            <w:pPr>
              <w:adjustRightInd w:val="0"/>
              <w:snapToGrid w:val="0"/>
              <w:spacing w:line="360" w:lineRule="auto"/>
              <w:ind w:firstLine="480"/>
              <w:rPr>
                <w:rFonts w:hint="eastAsia"/>
                <w:sz w:val="24"/>
                <w:szCs w:val="24"/>
                <w:u w:val="single"/>
              </w:rPr>
            </w:pPr>
            <w:r>
              <w:rPr>
                <w:rFonts w:hint="eastAsia"/>
                <w:sz w:val="24"/>
                <w:szCs w:val="24"/>
                <w:u w:val="single"/>
              </w:rPr>
              <w:t>本项目地面清洗废水主要污染物为石油类和SS，类比同类项目，石油类和SS产生浓度分别为100mg/L和1000mg/L，上述废水经收集后排至防渗沉淀池，经隔油、均质</w:t>
            </w:r>
            <w:r>
              <w:rPr>
                <w:rFonts w:hint="eastAsia"/>
                <w:sz w:val="24"/>
                <w:szCs w:val="24"/>
                <w:u w:val="single"/>
                <w:lang w:eastAsia="zh-CN"/>
              </w:rPr>
              <w:t>、</w:t>
            </w:r>
            <w:r>
              <w:rPr>
                <w:rFonts w:hint="eastAsia"/>
                <w:sz w:val="24"/>
                <w:szCs w:val="24"/>
                <w:u w:val="single"/>
              </w:rPr>
              <w:t>絮凝沉淀</w:t>
            </w:r>
            <w:r>
              <w:rPr>
                <w:rFonts w:hint="eastAsia"/>
                <w:sz w:val="24"/>
                <w:szCs w:val="24"/>
                <w:u w:val="single"/>
                <w:lang w:eastAsia="zh-CN"/>
              </w:rPr>
              <w:t>及气浮</w:t>
            </w:r>
            <w:r>
              <w:rPr>
                <w:rFonts w:hint="eastAsia"/>
                <w:sz w:val="24"/>
                <w:szCs w:val="24"/>
                <w:u w:val="single"/>
              </w:rPr>
              <w:t>后循环使用，不外排。</w:t>
            </w:r>
          </w:p>
          <w:p>
            <w:pPr>
              <w:adjustRightInd w:val="0"/>
              <w:snapToGrid w:val="0"/>
              <w:spacing w:line="360" w:lineRule="auto"/>
              <w:ind w:firstLine="480"/>
              <w:rPr>
                <w:rFonts w:hint="eastAsia"/>
                <w:b/>
                <w:bCs/>
                <w:sz w:val="24"/>
                <w:szCs w:val="24"/>
                <w:u w:val="single"/>
              </w:rPr>
            </w:pPr>
            <w:r>
              <w:rPr>
                <w:rFonts w:hint="eastAsia"/>
                <w:b/>
                <w:bCs/>
                <w:sz w:val="24"/>
                <w:szCs w:val="24"/>
                <w:u w:val="single"/>
              </w:rPr>
              <w:t>③初期雨水</w:t>
            </w:r>
          </w:p>
          <w:p>
            <w:pPr>
              <w:adjustRightInd w:val="0"/>
              <w:snapToGrid w:val="0"/>
              <w:spacing w:line="360" w:lineRule="auto"/>
              <w:ind w:firstLine="480"/>
              <w:rPr>
                <w:rFonts w:hint="eastAsia"/>
                <w:sz w:val="24"/>
                <w:szCs w:val="24"/>
                <w:u w:val="single"/>
              </w:rPr>
            </w:pPr>
            <w:r>
              <w:rPr>
                <w:rFonts w:hint="eastAsia"/>
                <w:sz w:val="24"/>
                <w:szCs w:val="24"/>
                <w:u w:val="single"/>
              </w:rPr>
              <w:t>本项目对农机停放场地（</w:t>
            </w:r>
            <w:r>
              <w:rPr>
                <w:rFonts w:hint="eastAsia"/>
                <w:sz w:val="24"/>
                <w:szCs w:val="24"/>
                <w:u w:val="single"/>
                <w:lang w:eastAsia="zh-CN"/>
              </w:rPr>
              <w:t>存</w:t>
            </w:r>
            <w:r>
              <w:rPr>
                <w:rFonts w:hint="eastAsia"/>
                <w:sz w:val="24"/>
                <w:szCs w:val="24"/>
                <w:u w:val="single"/>
              </w:rPr>
              <w:t>车场）和运输道路范围内进行初期雨水收集，非初期雨水随地表漫流外排。初期雨水经收集后排入废水处理设施，经过隔油、均质和絮凝沉淀后循环使用，用于车间地面清洗，不外排。</w:t>
            </w:r>
          </w:p>
          <w:p>
            <w:pPr>
              <w:adjustRightInd w:val="0"/>
              <w:snapToGrid w:val="0"/>
              <w:spacing w:line="360" w:lineRule="auto"/>
              <w:ind w:firstLine="480"/>
              <w:rPr>
                <w:rFonts w:hint="eastAsia"/>
                <w:sz w:val="24"/>
                <w:szCs w:val="24"/>
                <w:u w:val="single"/>
              </w:rPr>
            </w:pPr>
            <w:r>
              <w:rPr>
                <w:rFonts w:hint="eastAsia"/>
                <w:sz w:val="24"/>
                <w:szCs w:val="24"/>
                <w:u w:val="single"/>
              </w:rPr>
              <w:t>初期雨水收集方式主要采用设置导流水沟，初期雨水经导流水沟收集后引入废水处理设施进行处理，导流水沟设置截流阀，降雨15min后，关闭截流阀，非初期雨水随地表漫流排放。</w:t>
            </w:r>
          </w:p>
          <w:p>
            <w:pPr>
              <w:adjustRightInd w:val="0"/>
              <w:snapToGrid w:val="0"/>
              <w:spacing w:line="360" w:lineRule="auto"/>
              <w:ind w:firstLine="480"/>
              <w:rPr>
                <w:rFonts w:hint="eastAsia"/>
                <w:b/>
                <w:bCs/>
                <w:sz w:val="24"/>
                <w:szCs w:val="24"/>
                <w:u w:val="single"/>
              </w:rPr>
            </w:pPr>
            <w:r>
              <w:rPr>
                <w:rFonts w:hint="eastAsia"/>
                <w:b/>
                <w:bCs/>
                <w:sz w:val="24"/>
                <w:szCs w:val="24"/>
                <w:u w:val="single"/>
              </w:rPr>
              <w:t>（2）废水治理措施</w:t>
            </w:r>
          </w:p>
          <w:p>
            <w:pPr>
              <w:adjustRightInd w:val="0"/>
              <w:snapToGrid w:val="0"/>
              <w:spacing w:line="360" w:lineRule="auto"/>
              <w:ind w:firstLine="480"/>
              <w:rPr>
                <w:rFonts w:hint="eastAsia"/>
                <w:b/>
                <w:bCs/>
                <w:sz w:val="24"/>
                <w:szCs w:val="24"/>
                <w:u w:val="single"/>
              </w:rPr>
            </w:pPr>
            <w:r>
              <w:rPr>
                <w:rFonts w:hint="eastAsia"/>
                <w:b/>
                <w:bCs/>
                <w:sz w:val="24"/>
                <w:szCs w:val="24"/>
                <w:u w:val="single"/>
              </w:rPr>
              <w:t>①生活污水</w:t>
            </w:r>
          </w:p>
          <w:p>
            <w:pPr>
              <w:adjustRightInd w:val="0"/>
              <w:snapToGrid w:val="0"/>
              <w:spacing w:line="360" w:lineRule="auto"/>
              <w:ind w:firstLine="480"/>
              <w:rPr>
                <w:rFonts w:hint="eastAsia"/>
                <w:sz w:val="24"/>
                <w:szCs w:val="24"/>
                <w:u w:val="single"/>
              </w:rPr>
            </w:pPr>
            <w:r>
              <w:rPr>
                <w:rFonts w:hint="eastAsia"/>
                <w:sz w:val="24"/>
                <w:szCs w:val="24"/>
                <w:u w:val="single"/>
              </w:rPr>
              <w:t>本项目生活污水水质较为简单，污染物浓度较低，不含有毒有害及重金属污染物，排入园区污水管网进入白城市污水处理厂。</w:t>
            </w:r>
          </w:p>
          <w:p>
            <w:pPr>
              <w:adjustRightInd w:val="0"/>
              <w:snapToGrid w:val="0"/>
              <w:spacing w:line="360" w:lineRule="auto"/>
              <w:ind w:firstLine="480"/>
              <w:rPr>
                <w:rFonts w:hint="eastAsia"/>
                <w:b/>
                <w:bCs/>
                <w:sz w:val="24"/>
                <w:szCs w:val="24"/>
                <w:u w:val="single"/>
              </w:rPr>
            </w:pPr>
            <w:r>
              <w:rPr>
                <w:rFonts w:hint="eastAsia"/>
                <w:b/>
                <w:bCs/>
                <w:sz w:val="24"/>
                <w:szCs w:val="24"/>
                <w:u w:val="single"/>
              </w:rPr>
              <w:t>②污水回用可行性论证</w:t>
            </w:r>
          </w:p>
          <w:p>
            <w:pPr>
              <w:adjustRightInd w:val="0"/>
              <w:snapToGrid w:val="0"/>
              <w:spacing w:line="360" w:lineRule="auto"/>
              <w:ind w:firstLine="480"/>
              <w:rPr>
                <w:rFonts w:hint="eastAsia"/>
                <w:sz w:val="24"/>
                <w:szCs w:val="24"/>
                <w:u w:val="single"/>
              </w:rPr>
            </w:pPr>
            <w:r>
              <w:rPr>
                <w:rFonts w:hint="eastAsia"/>
                <w:sz w:val="24"/>
                <w:szCs w:val="24"/>
                <w:u w:val="single"/>
              </w:rPr>
              <w:t>本项目采用隔油</w:t>
            </w:r>
            <w:r>
              <w:rPr>
                <w:rFonts w:hint="eastAsia"/>
                <w:sz w:val="24"/>
                <w:szCs w:val="24"/>
                <w:u w:val="single"/>
                <w:lang w:val="en-US" w:eastAsia="zh-CN"/>
              </w:rPr>
              <w:t>+</w:t>
            </w:r>
            <w:r>
              <w:rPr>
                <w:rFonts w:hint="eastAsia"/>
                <w:sz w:val="24"/>
                <w:szCs w:val="24"/>
                <w:u w:val="single"/>
              </w:rPr>
              <w:t>均质</w:t>
            </w:r>
            <w:r>
              <w:rPr>
                <w:rFonts w:hint="eastAsia"/>
                <w:sz w:val="24"/>
                <w:szCs w:val="24"/>
                <w:u w:val="single"/>
                <w:lang w:val="en-US" w:eastAsia="zh-CN"/>
              </w:rPr>
              <w:t>+</w:t>
            </w:r>
            <w:r>
              <w:rPr>
                <w:rFonts w:hint="eastAsia"/>
                <w:sz w:val="24"/>
                <w:szCs w:val="24"/>
                <w:u w:val="single"/>
              </w:rPr>
              <w:t>絮凝沉淀</w:t>
            </w:r>
            <w:r>
              <w:rPr>
                <w:rFonts w:hint="eastAsia"/>
                <w:sz w:val="24"/>
                <w:szCs w:val="24"/>
                <w:u w:val="single"/>
                <w:lang w:val="en-US" w:eastAsia="zh-CN"/>
              </w:rPr>
              <w:t>+</w:t>
            </w:r>
            <w:r>
              <w:rPr>
                <w:rFonts w:hint="eastAsia"/>
                <w:sz w:val="24"/>
                <w:szCs w:val="24"/>
                <w:u w:val="single"/>
              </w:rPr>
              <w:t>气浮工艺进行地面清洗废水和初期雨水处理，经处理后循环使用。项目拟建一座隔油池，隔油处理能力为10m</w:t>
            </w:r>
            <w:r>
              <w:rPr>
                <w:rFonts w:hint="eastAsia"/>
                <w:sz w:val="24"/>
                <w:szCs w:val="24"/>
                <w:u w:val="single"/>
                <w:vertAlign w:val="superscript"/>
              </w:rPr>
              <w:t>3</w:t>
            </w:r>
            <w:r>
              <w:rPr>
                <w:rFonts w:hint="eastAsia"/>
                <w:sz w:val="24"/>
                <w:szCs w:val="24"/>
                <w:u w:val="single"/>
              </w:rPr>
              <w:t>/h，以上废水主要处理工艺为均质+絮凝沉淀+气浮，废水经处理后，用于车间地面清洗，循环使用不外排。地面清洗废水和初期雨水均属于污染物较为简单的废水，主要污染物为SS和石油类，本项目采用隔油池和絮凝沉淀池进行处理废水处理，较为具有针对性，可去除绝大部分悬浮物以及油类物质，废水处理设施较为有效。</w:t>
            </w:r>
          </w:p>
          <w:p>
            <w:pPr>
              <w:adjustRightInd w:val="0"/>
              <w:snapToGrid w:val="0"/>
              <w:spacing w:line="360" w:lineRule="auto"/>
              <w:ind w:firstLine="480"/>
              <w:rPr>
                <w:rFonts w:hint="eastAsia"/>
                <w:u w:val="single"/>
              </w:rPr>
            </w:pPr>
            <w:r>
              <w:rPr>
                <w:rFonts w:hint="eastAsia"/>
                <w:sz w:val="24"/>
                <w:szCs w:val="24"/>
                <w:u w:val="single"/>
              </w:rPr>
              <w:t>本项目废水处理设施处理效率及回用浓度如下：</w:t>
            </w:r>
          </w:p>
          <w:p>
            <w:pPr>
              <w:adjustRightInd w:val="0"/>
              <w:snapToGrid w:val="0"/>
              <w:spacing w:line="360" w:lineRule="auto"/>
              <w:ind w:firstLine="482"/>
              <w:jc w:val="right"/>
              <w:rPr>
                <w:u w:val="single"/>
              </w:rPr>
            </w:pPr>
            <w:r>
              <w:rPr>
                <w:rFonts w:hint="eastAsia"/>
                <w:b/>
                <w:bCs/>
                <w:sz w:val="24"/>
                <w:szCs w:val="24"/>
                <w:u w:val="single"/>
              </w:rPr>
              <w:t>表</w:t>
            </w:r>
            <w:r>
              <w:rPr>
                <w:rFonts w:hint="eastAsia"/>
                <w:b/>
                <w:bCs/>
                <w:sz w:val="24"/>
                <w:szCs w:val="24"/>
                <w:u w:val="single"/>
                <w:lang w:val="en-US" w:eastAsia="zh-CN"/>
              </w:rPr>
              <w:t>33</w:t>
            </w:r>
            <w:r>
              <w:rPr>
                <w:rFonts w:hint="eastAsia"/>
                <w:b/>
                <w:bCs/>
                <w:sz w:val="24"/>
                <w:szCs w:val="24"/>
                <w:u w:val="single"/>
              </w:rPr>
              <w:t xml:space="preserve">  污水处理设施处理效率一览表         单位：mg/L</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965"/>
              <w:gridCol w:w="1102"/>
              <w:gridCol w:w="1106"/>
              <w:gridCol w:w="1103"/>
              <w:gridCol w:w="1073"/>
              <w:gridCol w:w="765"/>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trPr>
              <w:tc>
                <w:tcPr>
                  <w:tcW w:w="710" w:type="pct"/>
                  <w:vMerge w:val="restart"/>
                  <w:shd w:val="clear" w:color="auto" w:fill="auto"/>
                  <w:noWrap/>
                  <w:vAlign w:val="center"/>
                </w:tcPr>
                <w:p>
                  <w:pPr>
                    <w:snapToGrid w:val="0"/>
                    <w:jc w:val="center"/>
                    <w:rPr>
                      <w:u w:val="single"/>
                    </w:rPr>
                  </w:pPr>
                  <w:r>
                    <w:rPr>
                      <w:rFonts w:hint="eastAsia"/>
                      <w:u w:val="single"/>
                    </w:rPr>
                    <w:t>污染物</w:t>
                  </w:r>
                </w:p>
              </w:tc>
              <w:tc>
                <w:tcPr>
                  <w:tcW w:w="602" w:type="pct"/>
                  <w:vMerge w:val="restart"/>
                  <w:shd w:val="clear" w:color="auto" w:fill="auto"/>
                  <w:noWrap/>
                  <w:vAlign w:val="center"/>
                </w:tcPr>
                <w:p>
                  <w:pPr>
                    <w:snapToGrid w:val="0"/>
                    <w:jc w:val="center"/>
                    <w:rPr>
                      <w:u w:val="single"/>
                    </w:rPr>
                  </w:pPr>
                  <w:r>
                    <w:rPr>
                      <w:u w:val="single"/>
                    </w:rPr>
                    <w:t>初始</w:t>
                  </w:r>
                </w:p>
                <w:p>
                  <w:pPr>
                    <w:snapToGrid w:val="0"/>
                    <w:jc w:val="center"/>
                    <w:rPr>
                      <w:u w:val="single"/>
                    </w:rPr>
                  </w:pPr>
                  <w:r>
                    <w:rPr>
                      <w:u w:val="single"/>
                    </w:rPr>
                    <w:t>浓度</w:t>
                  </w:r>
                </w:p>
              </w:tc>
              <w:tc>
                <w:tcPr>
                  <w:tcW w:w="1377" w:type="pct"/>
                  <w:gridSpan w:val="2"/>
                  <w:shd w:val="clear" w:color="auto" w:fill="auto"/>
                  <w:noWrap/>
                  <w:vAlign w:val="center"/>
                </w:tcPr>
                <w:p>
                  <w:pPr>
                    <w:snapToGrid w:val="0"/>
                    <w:jc w:val="center"/>
                    <w:rPr>
                      <w:u w:val="single"/>
                    </w:rPr>
                  </w:pPr>
                  <w:r>
                    <w:rPr>
                      <w:u w:val="single"/>
                    </w:rPr>
                    <w:t>隔油池</w:t>
                  </w:r>
                </w:p>
              </w:tc>
              <w:tc>
                <w:tcPr>
                  <w:tcW w:w="1357" w:type="pct"/>
                  <w:gridSpan w:val="2"/>
                  <w:shd w:val="clear" w:color="auto" w:fill="auto"/>
                  <w:noWrap/>
                  <w:vAlign w:val="center"/>
                </w:tcPr>
                <w:p>
                  <w:pPr>
                    <w:snapToGrid w:val="0"/>
                    <w:spacing w:line="360" w:lineRule="auto"/>
                    <w:jc w:val="center"/>
                    <w:rPr>
                      <w:rFonts w:hint="eastAsia" w:eastAsiaTheme="minorEastAsia"/>
                      <w:u w:val="single"/>
                      <w:lang w:val="en-US" w:eastAsia="zh-CN"/>
                    </w:rPr>
                  </w:pPr>
                  <w:r>
                    <w:rPr>
                      <w:u w:val="single"/>
                    </w:rPr>
                    <w:t>絮凝</w:t>
                  </w:r>
                  <w:r>
                    <w:rPr>
                      <w:rFonts w:hint="eastAsia"/>
                      <w:u w:val="single"/>
                    </w:rPr>
                    <w:t>+</w:t>
                  </w:r>
                  <w:r>
                    <w:rPr>
                      <w:u w:val="single"/>
                    </w:rPr>
                    <w:t>沉淀</w:t>
                  </w:r>
                  <w:r>
                    <w:rPr>
                      <w:rFonts w:hint="eastAsia"/>
                      <w:u w:val="single"/>
                      <w:lang w:val="en-US" w:eastAsia="zh-CN"/>
                    </w:rPr>
                    <w:t>+气浮</w:t>
                  </w:r>
                </w:p>
              </w:tc>
              <w:tc>
                <w:tcPr>
                  <w:tcW w:w="477" w:type="pct"/>
                  <w:vMerge w:val="restart"/>
                  <w:shd w:val="clear" w:color="auto" w:fill="auto"/>
                  <w:noWrap/>
                  <w:vAlign w:val="center"/>
                </w:tcPr>
                <w:p>
                  <w:pPr>
                    <w:snapToGrid w:val="0"/>
                    <w:jc w:val="center"/>
                    <w:rPr>
                      <w:u w:val="single"/>
                    </w:rPr>
                  </w:pPr>
                  <w:r>
                    <w:rPr>
                      <w:u w:val="single"/>
                    </w:rPr>
                    <w:t>回用标准</w:t>
                  </w:r>
                </w:p>
              </w:tc>
              <w:tc>
                <w:tcPr>
                  <w:tcW w:w="477" w:type="pct"/>
                  <w:vMerge w:val="restart"/>
                  <w:shd w:val="clear" w:color="auto" w:fill="auto"/>
                  <w:noWrap/>
                  <w:vAlign w:val="center"/>
                </w:tcPr>
                <w:p>
                  <w:pPr>
                    <w:snapToGrid w:val="0"/>
                    <w:jc w:val="center"/>
                    <w:rPr>
                      <w:u w:val="single"/>
                    </w:rPr>
                  </w:pPr>
                  <w:r>
                    <w:rPr>
                      <w:u w:val="single"/>
                    </w:rPr>
                    <w:t>可达标性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0" w:type="pct"/>
                  <w:vMerge w:val="continue"/>
                  <w:shd w:val="clear" w:color="auto" w:fill="auto"/>
                  <w:noWrap/>
                  <w:vAlign w:val="center"/>
                </w:tcPr>
                <w:p>
                  <w:pPr>
                    <w:snapToGrid w:val="0"/>
                    <w:jc w:val="center"/>
                    <w:rPr>
                      <w:u w:val="single"/>
                    </w:rPr>
                  </w:pPr>
                </w:p>
              </w:tc>
              <w:tc>
                <w:tcPr>
                  <w:tcW w:w="602" w:type="pct"/>
                  <w:vMerge w:val="continue"/>
                  <w:shd w:val="clear" w:color="auto" w:fill="auto"/>
                  <w:noWrap/>
                  <w:vAlign w:val="center"/>
                </w:tcPr>
                <w:p>
                  <w:pPr>
                    <w:snapToGrid w:val="0"/>
                    <w:jc w:val="center"/>
                    <w:rPr>
                      <w:u w:val="single"/>
                    </w:rPr>
                  </w:pPr>
                </w:p>
              </w:tc>
              <w:tc>
                <w:tcPr>
                  <w:tcW w:w="687" w:type="pct"/>
                  <w:shd w:val="clear" w:color="auto" w:fill="auto"/>
                  <w:noWrap/>
                  <w:vAlign w:val="center"/>
                </w:tcPr>
                <w:p>
                  <w:pPr>
                    <w:snapToGrid w:val="0"/>
                    <w:jc w:val="center"/>
                    <w:rPr>
                      <w:u w:val="single"/>
                    </w:rPr>
                  </w:pPr>
                  <w:r>
                    <w:rPr>
                      <w:u w:val="single"/>
                    </w:rPr>
                    <w:t>处理效率</w:t>
                  </w:r>
                </w:p>
              </w:tc>
              <w:tc>
                <w:tcPr>
                  <w:tcW w:w="690" w:type="pct"/>
                  <w:shd w:val="clear" w:color="auto" w:fill="auto"/>
                  <w:noWrap/>
                  <w:vAlign w:val="center"/>
                </w:tcPr>
                <w:p>
                  <w:pPr>
                    <w:snapToGrid w:val="0"/>
                    <w:jc w:val="center"/>
                    <w:rPr>
                      <w:u w:val="single"/>
                    </w:rPr>
                  </w:pPr>
                  <w:r>
                    <w:rPr>
                      <w:u w:val="single"/>
                    </w:rPr>
                    <w:t>出水浓度</w:t>
                  </w:r>
                </w:p>
              </w:tc>
              <w:tc>
                <w:tcPr>
                  <w:tcW w:w="688" w:type="pct"/>
                  <w:shd w:val="clear" w:color="auto" w:fill="auto"/>
                  <w:noWrap/>
                  <w:vAlign w:val="center"/>
                </w:tcPr>
                <w:p>
                  <w:pPr>
                    <w:snapToGrid w:val="0"/>
                    <w:spacing w:line="360" w:lineRule="auto"/>
                    <w:jc w:val="center"/>
                    <w:rPr>
                      <w:u w:val="single"/>
                    </w:rPr>
                  </w:pPr>
                  <w:r>
                    <w:rPr>
                      <w:u w:val="single"/>
                    </w:rPr>
                    <w:t>处理效率</w:t>
                  </w:r>
                </w:p>
              </w:tc>
              <w:tc>
                <w:tcPr>
                  <w:tcW w:w="669" w:type="pct"/>
                  <w:shd w:val="clear" w:color="auto" w:fill="auto"/>
                  <w:noWrap/>
                  <w:vAlign w:val="center"/>
                </w:tcPr>
                <w:p>
                  <w:pPr>
                    <w:snapToGrid w:val="0"/>
                    <w:spacing w:line="360" w:lineRule="auto"/>
                    <w:jc w:val="center"/>
                    <w:rPr>
                      <w:u w:val="single"/>
                    </w:rPr>
                  </w:pPr>
                  <w:r>
                    <w:rPr>
                      <w:u w:val="single"/>
                    </w:rPr>
                    <w:t>出水浓度</w:t>
                  </w:r>
                </w:p>
              </w:tc>
              <w:tc>
                <w:tcPr>
                  <w:tcW w:w="477" w:type="pct"/>
                  <w:vMerge w:val="continue"/>
                  <w:shd w:val="clear" w:color="auto" w:fill="auto"/>
                  <w:noWrap/>
                  <w:vAlign w:val="center"/>
                </w:tcPr>
                <w:p>
                  <w:pPr>
                    <w:snapToGrid w:val="0"/>
                    <w:jc w:val="center"/>
                    <w:rPr>
                      <w:u w:val="single"/>
                    </w:rPr>
                  </w:pPr>
                </w:p>
              </w:tc>
              <w:tc>
                <w:tcPr>
                  <w:tcW w:w="477" w:type="pct"/>
                  <w:vMerge w:val="continue"/>
                  <w:shd w:val="clear" w:color="auto" w:fill="auto"/>
                  <w:noWrap/>
                  <w:vAlign w:val="center"/>
                </w:tcPr>
                <w:p>
                  <w:pPr>
                    <w:snapToGrid w:val="0"/>
                    <w:jc w:val="center"/>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trPr>
              <w:tc>
                <w:tcPr>
                  <w:tcW w:w="710" w:type="pct"/>
                  <w:shd w:val="clear" w:color="auto" w:fill="auto"/>
                  <w:noWrap/>
                  <w:vAlign w:val="center"/>
                </w:tcPr>
                <w:p>
                  <w:pPr>
                    <w:snapToGrid w:val="0"/>
                    <w:jc w:val="center"/>
                    <w:rPr>
                      <w:u w:val="single"/>
                    </w:rPr>
                  </w:pPr>
                  <w:r>
                    <w:rPr>
                      <w:u w:val="single"/>
                    </w:rPr>
                    <w:t>SS</w:t>
                  </w:r>
                </w:p>
              </w:tc>
              <w:tc>
                <w:tcPr>
                  <w:tcW w:w="602" w:type="pct"/>
                  <w:shd w:val="clear" w:color="auto" w:fill="auto"/>
                  <w:noWrap/>
                  <w:vAlign w:val="center"/>
                </w:tcPr>
                <w:p>
                  <w:pPr>
                    <w:snapToGrid w:val="0"/>
                    <w:jc w:val="center"/>
                    <w:rPr>
                      <w:u w:val="single"/>
                    </w:rPr>
                  </w:pPr>
                  <w:r>
                    <w:rPr>
                      <w:rFonts w:hint="eastAsia"/>
                      <w:u w:val="single"/>
                    </w:rPr>
                    <w:t>1000</w:t>
                  </w:r>
                </w:p>
              </w:tc>
              <w:tc>
                <w:tcPr>
                  <w:tcW w:w="687" w:type="pct"/>
                  <w:shd w:val="clear" w:color="auto" w:fill="auto"/>
                  <w:noWrap/>
                  <w:vAlign w:val="center"/>
                </w:tcPr>
                <w:p>
                  <w:pPr>
                    <w:snapToGrid w:val="0"/>
                    <w:jc w:val="center"/>
                    <w:rPr>
                      <w:u w:val="single"/>
                    </w:rPr>
                  </w:pPr>
                  <w:r>
                    <w:rPr>
                      <w:rFonts w:hint="eastAsia"/>
                      <w:u w:val="single"/>
                    </w:rPr>
                    <w:t>50%</w:t>
                  </w:r>
                </w:p>
              </w:tc>
              <w:tc>
                <w:tcPr>
                  <w:tcW w:w="690" w:type="pct"/>
                  <w:shd w:val="clear" w:color="auto" w:fill="auto"/>
                  <w:noWrap/>
                  <w:vAlign w:val="center"/>
                </w:tcPr>
                <w:p>
                  <w:pPr>
                    <w:snapToGrid w:val="0"/>
                    <w:jc w:val="center"/>
                    <w:rPr>
                      <w:u w:val="single"/>
                    </w:rPr>
                  </w:pPr>
                  <w:r>
                    <w:rPr>
                      <w:rFonts w:hint="eastAsia"/>
                      <w:u w:val="single"/>
                    </w:rPr>
                    <w:t>500</w:t>
                  </w:r>
                </w:p>
              </w:tc>
              <w:tc>
                <w:tcPr>
                  <w:tcW w:w="688" w:type="pct"/>
                  <w:shd w:val="clear" w:color="auto" w:fill="auto"/>
                  <w:noWrap/>
                  <w:vAlign w:val="center"/>
                </w:tcPr>
                <w:p>
                  <w:pPr>
                    <w:snapToGrid w:val="0"/>
                    <w:spacing w:line="360" w:lineRule="auto"/>
                    <w:jc w:val="center"/>
                    <w:rPr>
                      <w:u w:val="single"/>
                    </w:rPr>
                  </w:pPr>
                  <w:r>
                    <w:rPr>
                      <w:rFonts w:hint="eastAsia"/>
                      <w:u w:val="single"/>
                    </w:rPr>
                    <w:t>95</w:t>
                  </w:r>
                </w:p>
              </w:tc>
              <w:tc>
                <w:tcPr>
                  <w:tcW w:w="669" w:type="pct"/>
                  <w:shd w:val="clear" w:color="auto" w:fill="auto"/>
                  <w:noWrap/>
                  <w:vAlign w:val="center"/>
                </w:tcPr>
                <w:p>
                  <w:pPr>
                    <w:snapToGrid w:val="0"/>
                    <w:spacing w:line="360" w:lineRule="auto"/>
                    <w:jc w:val="center"/>
                    <w:rPr>
                      <w:u w:val="single"/>
                    </w:rPr>
                  </w:pPr>
                  <w:r>
                    <w:rPr>
                      <w:rFonts w:hint="eastAsia"/>
                      <w:u w:val="single"/>
                    </w:rPr>
                    <w:t>25</w:t>
                  </w:r>
                </w:p>
              </w:tc>
              <w:tc>
                <w:tcPr>
                  <w:tcW w:w="477" w:type="pct"/>
                  <w:shd w:val="clear" w:color="auto" w:fill="auto"/>
                  <w:noWrap/>
                  <w:vAlign w:val="center"/>
                </w:tcPr>
                <w:p>
                  <w:pPr>
                    <w:jc w:val="center"/>
                    <w:rPr>
                      <w:u w:val="single"/>
                    </w:rPr>
                  </w:pPr>
                  <w:r>
                    <w:rPr>
                      <w:rFonts w:hint="eastAsia"/>
                      <w:u w:val="single"/>
                    </w:rPr>
                    <w:t>≤30</w:t>
                  </w:r>
                </w:p>
              </w:tc>
              <w:tc>
                <w:tcPr>
                  <w:tcW w:w="477" w:type="pct"/>
                  <w:shd w:val="clear" w:color="auto" w:fill="auto"/>
                  <w:noWrap/>
                  <w:vAlign w:val="center"/>
                </w:tcPr>
                <w:p>
                  <w:pPr>
                    <w:jc w:val="center"/>
                    <w:rPr>
                      <w:u w:val="single"/>
                    </w:rPr>
                  </w:pPr>
                  <w:r>
                    <w:rPr>
                      <w:rFonts w:hint="eastAsia"/>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trPr>
              <w:tc>
                <w:tcPr>
                  <w:tcW w:w="710" w:type="pct"/>
                  <w:shd w:val="clear" w:color="auto" w:fill="auto"/>
                  <w:noWrap/>
                  <w:vAlign w:val="center"/>
                </w:tcPr>
                <w:p>
                  <w:pPr>
                    <w:snapToGrid w:val="0"/>
                    <w:jc w:val="center"/>
                    <w:rPr>
                      <w:u w:val="single"/>
                    </w:rPr>
                  </w:pPr>
                  <w:r>
                    <w:rPr>
                      <w:u w:val="single"/>
                    </w:rPr>
                    <w:t>石油类</w:t>
                  </w:r>
                </w:p>
              </w:tc>
              <w:tc>
                <w:tcPr>
                  <w:tcW w:w="602" w:type="pct"/>
                  <w:shd w:val="clear" w:color="auto" w:fill="auto"/>
                  <w:noWrap/>
                  <w:vAlign w:val="center"/>
                </w:tcPr>
                <w:p>
                  <w:pPr>
                    <w:snapToGrid w:val="0"/>
                    <w:jc w:val="center"/>
                    <w:rPr>
                      <w:u w:val="single"/>
                    </w:rPr>
                  </w:pPr>
                  <w:r>
                    <w:rPr>
                      <w:rFonts w:hint="eastAsia"/>
                      <w:u w:val="single"/>
                    </w:rPr>
                    <w:t>100</w:t>
                  </w:r>
                </w:p>
              </w:tc>
              <w:tc>
                <w:tcPr>
                  <w:tcW w:w="687" w:type="pct"/>
                  <w:shd w:val="clear" w:color="auto" w:fill="auto"/>
                  <w:noWrap/>
                  <w:vAlign w:val="center"/>
                </w:tcPr>
                <w:p>
                  <w:pPr>
                    <w:snapToGrid w:val="0"/>
                    <w:jc w:val="center"/>
                    <w:rPr>
                      <w:u w:val="single"/>
                    </w:rPr>
                  </w:pPr>
                  <w:r>
                    <w:rPr>
                      <w:rFonts w:hint="eastAsia"/>
                      <w:u w:val="single"/>
                    </w:rPr>
                    <w:t>95%</w:t>
                  </w:r>
                </w:p>
              </w:tc>
              <w:tc>
                <w:tcPr>
                  <w:tcW w:w="690" w:type="pct"/>
                  <w:shd w:val="clear" w:color="auto" w:fill="auto"/>
                  <w:noWrap/>
                  <w:vAlign w:val="center"/>
                </w:tcPr>
                <w:p>
                  <w:pPr>
                    <w:snapToGrid w:val="0"/>
                    <w:jc w:val="center"/>
                    <w:rPr>
                      <w:u w:val="single"/>
                    </w:rPr>
                  </w:pPr>
                  <w:r>
                    <w:rPr>
                      <w:rFonts w:hint="eastAsia"/>
                      <w:u w:val="single"/>
                    </w:rPr>
                    <w:t>5</w:t>
                  </w:r>
                </w:p>
              </w:tc>
              <w:tc>
                <w:tcPr>
                  <w:tcW w:w="688" w:type="pct"/>
                  <w:shd w:val="clear" w:color="auto" w:fill="auto"/>
                  <w:noWrap/>
                  <w:vAlign w:val="center"/>
                </w:tcPr>
                <w:p>
                  <w:pPr>
                    <w:snapToGrid w:val="0"/>
                    <w:spacing w:line="360" w:lineRule="auto"/>
                    <w:jc w:val="center"/>
                    <w:rPr>
                      <w:u w:val="single"/>
                    </w:rPr>
                  </w:pPr>
                  <w:r>
                    <w:rPr>
                      <w:rFonts w:hint="eastAsia"/>
                      <w:u w:val="single"/>
                    </w:rPr>
                    <w:t>60</w:t>
                  </w:r>
                </w:p>
              </w:tc>
              <w:tc>
                <w:tcPr>
                  <w:tcW w:w="669" w:type="pct"/>
                  <w:shd w:val="clear" w:color="auto" w:fill="auto"/>
                  <w:noWrap/>
                  <w:vAlign w:val="center"/>
                </w:tcPr>
                <w:p>
                  <w:pPr>
                    <w:snapToGrid w:val="0"/>
                    <w:spacing w:line="360" w:lineRule="auto"/>
                    <w:jc w:val="center"/>
                    <w:rPr>
                      <w:u w:val="single"/>
                    </w:rPr>
                  </w:pPr>
                  <w:r>
                    <w:rPr>
                      <w:rFonts w:hint="eastAsia"/>
                      <w:u w:val="single"/>
                    </w:rPr>
                    <w:t>2</w:t>
                  </w:r>
                </w:p>
              </w:tc>
              <w:tc>
                <w:tcPr>
                  <w:tcW w:w="477" w:type="pct"/>
                  <w:shd w:val="clear" w:color="auto" w:fill="auto"/>
                  <w:noWrap/>
                  <w:vAlign w:val="center"/>
                </w:tcPr>
                <w:p>
                  <w:pPr>
                    <w:jc w:val="center"/>
                    <w:rPr>
                      <w:u w:val="single"/>
                    </w:rPr>
                  </w:pPr>
                  <w:r>
                    <w:rPr>
                      <w:rFonts w:hint="eastAsia"/>
                      <w:u w:val="single"/>
                    </w:rPr>
                    <w:t>-</w:t>
                  </w:r>
                </w:p>
              </w:tc>
              <w:tc>
                <w:tcPr>
                  <w:tcW w:w="477" w:type="pct"/>
                  <w:shd w:val="clear" w:color="auto" w:fill="auto"/>
                  <w:noWrap/>
                  <w:vAlign w:val="center"/>
                </w:tcPr>
                <w:p>
                  <w:pPr>
                    <w:jc w:val="center"/>
                    <w:rPr>
                      <w:u w:val="single"/>
                    </w:rPr>
                  </w:pPr>
                  <w:r>
                    <w:rPr>
                      <w:rFonts w:hint="eastAsia"/>
                      <w:u w:val="single"/>
                    </w:rPr>
                    <w:t>达标</w:t>
                  </w:r>
                </w:p>
              </w:tc>
            </w:tr>
          </w:tbl>
          <w:p>
            <w:pPr>
              <w:adjustRightInd w:val="0"/>
              <w:snapToGrid w:val="0"/>
              <w:ind w:firstLine="480"/>
              <w:rPr>
                <w:u w:val="single"/>
              </w:rPr>
            </w:pPr>
          </w:p>
          <w:p>
            <w:pPr>
              <w:adjustRightInd w:val="0"/>
              <w:snapToGrid w:val="0"/>
              <w:spacing w:line="360" w:lineRule="auto"/>
              <w:ind w:firstLine="480"/>
              <w:rPr>
                <w:sz w:val="24"/>
                <w:szCs w:val="24"/>
                <w:u w:val="single"/>
              </w:rPr>
            </w:pPr>
            <w:r>
              <w:rPr>
                <w:rFonts w:hint="eastAsia"/>
                <w:sz w:val="24"/>
                <w:szCs w:val="24"/>
                <w:u w:val="single"/>
              </w:rPr>
              <w:t>通过上述处理效果分析，本项目污水处理设施出水符合《城市污水再生利用 工业用水水质》（GBT19923-2005）中洗涤用水标准，可回用于车间地面清洗，废水经处理后可循环使用，不外排。</w:t>
            </w:r>
          </w:p>
          <w:p>
            <w:pPr>
              <w:adjustRightInd w:val="0"/>
              <w:snapToGrid w:val="0"/>
              <w:spacing w:line="360" w:lineRule="auto"/>
              <w:ind w:firstLine="480"/>
              <w:rPr>
                <w:sz w:val="24"/>
                <w:szCs w:val="24"/>
                <w:u w:val="single"/>
              </w:rPr>
            </w:pPr>
            <w:r>
              <w:rPr>
                <w:rFonts w:hint="eastAsia"/>
                <w:sz w:val="24"/>
                <w:szCs w:val="24"/>
                <w:u w:val="single"/>
              </w:rPr>
              <w:t>同时，根据《排污许可证申请与核发技术规范 废弃资源加工工业》（</w:t>
            </w:r>
            <w:r>
              <w:rPr>
                <w:sz w:val="24"/>
                <w:szCs w:val="24"/>
                <w:u w:val="single"/>
              </w:rPr>
              <w:t>HJ1034</w:t>
            </w:r>
            <w:r>
              <w:rPr>
                <w:rFonts w:hint="eastAsia"/>
                <w:sz w:val="24"/>
                <w:szCs w:val="24"/>
                <w:u w:val="single"/>
              </w:rPr>
              <w:t>-</w:t>
            </w:r>
            <w:r>
              <w:rPr>
                <w:sz w:val="24"/>
                <w:szCs w:val="24"/>
                <w:u w:val="single"/>
              </w:rPr>
              <w:t>2019</w:t>
            </w:r>
            <w:r>
              <w:rPr>
                <w:rFonts w:hint="eastAsia"/>
                <w:sz w:val="24"/>
                <w:szCs w:val="24"/>
                <w:u w:val="single"/>
              </w:rPr>
              <w:t>）中表A.2废弃资源加工工业排污单位废水污染防治可行技术参考表内容，废机动车及其他废弃资源综合废水处理推荐可行技术包括“均质+隔油池+絮凝+沉淀+气浮”；根据该技术规范表9内容，清洗废水和初期雨水经厂内综合污水处理设施处理后去向包括“不外排经处理后厂内回用”。</w:t>
            </w:r>
          </w:p>
          <w:p>
            <w:pPr>
              <w:adjustRightInd w:val="0"/>
              <w:snapToGrid w:val="0"/>
              <w:spacing w:line="360" w:lineRule="auto"/>
              <w:ind w:firstLine="480"/>
              <w:rPr>
                <w:sz w:val="24"/>
                <w:szCs w:val="24"/>
                <w:u w:val="single"/>
              </w:rPr>
            </w:pPr>
            <w:r>
              <w:rPr>
                <w:rFonts w:hint="eastAsia"/>
                <w:sz w:val="24"/>
                <w:szCs w:val="24"/>
                <w:u w:val="single"/>
              </w:rPr>
              <w:t>综上，本项目地面清洗废水和初期雨水的废水处理措施具有很强的针对性，所采用的废水处理技术符合《排污许可证申请与核发技术规范 废弃资源加工工业》（</w:t>
            </w:r>
            <w:r>
              <w:rPr>
                <w:sz w:val="24"/>
                <w:szCs w:val="24"/>
                <w:u w:val="single"/>
              </w:rPr>
              <w:t>HJ1034</w:t>
            </w:r>
            <w:r>
              <w:rPr>
                <w:rFonts w:hint="eastAsia"/>
                <w:sz w:val="24"/>
                <w:szCs w:val="24"/>
                <w:u w:val="single"/>
              </w:rPr>
              <w:t>-</w:t>
            </w:r>
            <w:r>
              <w:rPr>
                <w:sz w:val="24"/>
                <w:szCs w:val="24"/>
                <w:u w:val="single"/>
              </w:rPr>
              <w:t>2019</w:t>
            </w:r>
            <w:r>
              <w:rPr>
                <w:rFonts w:hint="eastAsia"/>
                <w:sz w:val="24"/>
                <w:szCs w:val="24"/>
                <w:u w:val="single"/>
              </w:rPr>
              <w:t>）可行技术要求，污水回用方式符合《排污许可证申请与核发技术规范 废弃资源加工工业》（</w:t>
            </w:r>
            <w:r>
              <w:rPr>
                <w:sz w:val="24"/>
                <w:szCs w:val="24"/>
                <w:u w:val="single"/>
              </w:rPr>
              <w:t>HJ1034</w:t>
            </w:r>
            <w:r>
              <w:rPr>
                <w:rFonts w:hint="eastAsia"/>
                <w:sz w:val="24"/>
                <w:szCs w:val="24"/>
                <w:u w:val="single"/>
              </w:rPr>
              <w:t>-</w:t>
            </w:r>
            <w:r>
              <w:rPr>
                <w:sz w:val="24"/>
                <w:szCs w:val="24"/>
                <w:u w:val="single"/>
              </w:rPr>
              <w:t>2019</w:t>
            </w:r>
            <w:r>
              <w:rPr>
                <w:rFonts w:hint="eastAsia"/>
                <w:sz w:val="24"/>
                <w:szCs w:val="24"/>
                <w:u w:val="single"/>
              </w:rPr>
              <w:t>）内容要求。</w:t>
            </w:r>
          </w:p>
          <w:p>
            <w:pPr>
              <w:adjustRightInd w:val="0"/>
              <w:snapToGrid w:val="0"/>
              <w:spacing w:line="360" w:lineRule="auto"/>
              <w:ind w:firstLine="480"/>
              <w:rPr>
                <w:b/>
                <w:bCs/>
                <w:sz w:val="24"/>
                <w:szCs w:val="24"/>
                <w:u w:val="single"/>
              </w:rPr>
            </w:pPr>
            <w:r>
              <w:rPr>
                <w:rFonts w:hint="eastAsia"/>
                <w:b/>
                <w:bCs/>
                <w:sz w:val="24"/>
                <w:szCs w:val="24"/>
                <w:u w:val="single"/>
              </w:rPr>
              <w:t>③水量循环使用可行性分析</w:t>
            </w:r>
          </w:p>
          <w:p>
            <w:pPr>
              <w:adjustRightInd w:val="0"/>
              <w:snapToGrid w:val="0"/>
              <w:spacing w:line="360" w:lineRule="auto"/>
              <w:ind w:firstLine="480"/>
              <w:rPr>
                <w:sz w:val="24"/>
                <w:szCs w:val="24"/>
                <w:u w:val="single"/>
              </w:rPr>
            </w:pPr>
            <w:r>
              <w:rPr>
                <w:rFonts w:hint="eastAsia"/>
                <w:sz w:val="24"/>
                <w:szCs w:val="24"/>
                <w:u w:val="single"/>
              </w:rPr>
              <w:t>清洗用水可以消耗全部的初期雨水。当循环水量不足时，地面清洗用水使用新鲜水；当降雨强度较大时，沉淀池尾水用于场内洒水降尘，故初期雨水收集水量全部用于地面清洗可行。</w:t>
            </w:r>
          </w:p>
          <w:p>
            <w:pPr>
              <w:widowControl/>
              <w:spacing w:line="360" w:lineRule="auto"/>
              <w:ind w:firstLine="480" w:firstLineChars="200"/>
              <w:jc w:val="left"/>
              <w:rPr>
                <w:rFonts w:hint="eastAsia"/>
                <w:sz w:val="24"/>
                <w:szCs w:val="24"/>
                <w:u w:val="single"/>
              </w:rPr>
            </w:pPr>
            <w:r>
              <w:rPr>
                <w:rFonts w:hint="eastAsia"/>
                <w:sz w:val="24"/>
                <w:szCs w:val="24"/>
                <w:u w:val="single"/>
              </w:rPr>
              <w:t>为防止生产过程或事故状态污染物进入周边环境，导致环境污染事故，必须坚持预防为主、防控结合，建立安全有效的污染综合预防控制体系。针对全厂特点，在废机油收储车间设置围堰、收集沟，以及时收集泄漏的各类危废溶液，并设置事故应急池，事故应急池平时为空池状态。事故状态下产生的消防废水</w:t>
            </w:r>
            <w:r>
              <w:rPr>
                <w:rFonts w:hint="eastAsia"/>
                <w:sz w:val="24"/>
                <w:szCs w:val="24"/>
                <w:u w:val="single"/>
                <w:lang w:eastAsia="zh-CN"/>
              </w:rPr>
              <w:t>暂存事故池后</w:t>
            </w:r>
            <w:r>
              <w:rPr>
                <w:rFonts w:hint="eastAsia"/>
                <w:sz w:val="24"/>
                <w:szCs w:val="24"/>
                <w:u w:val="single"/>
              </w:rPr>
              <w:t>应交由有资质单位进行处理，不得随意排放。</w:t>
            </w:r>
          </w:p>
          <w:p>
            <w:pPr>
              <w:pStyle w:val="33"/>
              <w:numPr>
                <w:ilvl w:val="0"/>
                <w:numId w:val="0"/>
              </w:numPr>
              <w:wordWrap w:val="0"/>
              <w:spacing w:line="360" w:lineRule="auto"/>
              <w:rPr>
                <w:sz w:val="24"/>
                <w:szCs w:val="24"/>
                <w:u w:val="single"/>
              </w:rPr>
            </w:pPr>
            <w:r>
              <w:rPr>
                <w:rFonts w:hint="eastAsia"/>
                <w:sz w:val="24"/>
                <w:szCs w:val="24"/>
                <w:u w:val="single"/>
              </w:rPr>
              <w:t>表</w:t>
            </w:r>
            <w:r>
              <w:rPr>
                <w:rFonts w:hint="eastAsia"/>
                <w:sz w:val="24"/>
                <w:szCs w:val="24"/>
                <w:u w:val="single"/>
                <w:lang w:val="en-US" w:eastAsia="zh-CN"/>
              </w:rPr>
              <w:t>3</w:t>
            </w:r>
            <w:r>
              <w:rPr>
                <w:rFonts w:hint="eastAsia"/>
                <w:sz w:val="24"/>
                <w:szCs w:val="24"/>
                <w:u w:val="single"/>
              </w:rPr>
              <w:t xml:space="preserve">4  </w:t>
            </w:r>
            <w:r>
              <w:rPr>
                <w:sz w:val="24"/>
                <w:szCs w:val="24"/>
                <w:u w:val="single"/>
              </w:rPr>
              <w:t>本项目</w:t>
            </w:r>
            <w:r>
              <w:rPr>
                <w:rFonts w:hint="eastAsia"/>
                <w:sz w:val="24"/>
                <w:szCs w:val="24"/>
                <w:u w:val="single"/>
              </w:rPr>
              <w:t>废水排放口监测计划</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228"/>
              <w:gridCol w:w="1240"/>
              <w:gridCol w:w="1355"/>
              <w:gridCol w:w="1719"/>
              <w:gridCol w:w="14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1001" w:type="dxa"/>
                  <w:vMerge w:val="restart"/>
                  <w:shd w:val="clear" w:color="auto" w:fill="auto"/>
                  <w:noWrap/>
                  <w:vAlign w:val="center"/>
                </w:tcPr>
                <w:p>
                  <w:pPr>
                    <w:spacing w:line="240" w:lineRule="exact"/>
                    <w:jc w:val="center"/>
                    <w:rPr>
                      <w:b/>
                      <w:bCs/>
                      <w:u w:val="single"/>
                    </w:rPr>
                  </w:pPr>
                  <w:r>
                    <w:rPr>
                      <w:rFonts w:hint="eastAsia"/>
                      <w:b/>
                      <w:bCs/>
                      <w:u w:val="single"/>
                    </w:rPr>
                    <w:t>监测</w:t>
                  </w:r>
                </w:p>
                <w:p>
                  <w:pPr>
                    <w:spacing w:line="240" w:lineRule="exact"/>
                    <w:jc w:val="center"/>
                    <w:rPr>
                      <w:b/>
                      <w:bCs/>
                      <w:u w:val="single"/>
                    </w:rPr>
                  </w:pPr>
                  <w:r>
                    <w:rPr>
                      <w:rFonts w:hint="eastAsia"/>
                      <w:b/>
                      <w:bCs/>
                      <w:u w:val="single"/>
                    </w:rPr>
                    <w:t>类别</w:t>
                  </w:r>
                </w:p>
              </w:tc>
              <w:tc>
                <w:tcPr>
                  <w:tcW w:w="1228" w:type="dxa"/>
                  <w:vMerge w:val="restart"/>
                  <w:shd w:val="clear" w:color="auto" w:fill="auto"/>
                  <w:noWrap/>
                  <w:vAlign w:val="center"/>
                </w:tcPr>
                <w:p>
                  <w:pPr>
                    <w:spacing w:line="240" w:lineRule="exact"/>
                    <w:jc w:val="center"/>
                    <w:rPr>
                      <w:b/>
                      <w:bCs/>
                      <w:u w:val="single"/>
                    </w:rPr>
                  </w:pPr>
                  <w:r>
                    <w:rPr>
                      <w:rFonts w:hint="eastAsia"/>
                      <w:b/>
                      <w:bCs/>
                      <w:u w:val="single"/>
                    </w:rPr>
                    <w:t>监测地点</w:t>
                  </w:r>
                </w:p>
              </w:tc>
              <w:tc>
                <w:tcPr>
                  <w:tcW w:w="1240" w:type="dxa"/>
                  <w:vMerge w:val="restart"/>
                  <w:shd w:val="clear" w:color="auto" w:fill="auto"/>
                  <w:noWrap/>
                  <w:vAlign w:val="center"/>
                </w:tcPr>
                <w:p>
                  <w:pPr>
                    <w:spacing w:line="240" w:lineRule="exact"/>
                    <w:jc w:val="center"/>
                    <w:rPr>
                      <w:b/>
                      <w:bCs/>
                      <w:u w:val="single"/>
                    </w:rPr>
                  </w:pPr>
                  <w:r>
                    <w:rPr>
                      <w:rFonts w:hint="eastAsia"/>
                      <w:b/>
                      <w:bCs/>
                      <w:u w:val="single"/>
                    </w:rPr>
                    <w:t>监测项目</w:t>
                  </w:r>
                </w:p>
              </w:tc>
              <w:tc>
                <w:tcPr>
                  <w:tcW w:w="1355" w:type="dxa"/>
                  <w:vMerge w:val="restart"/>
                  <w:shd w:val="clear" w:color="auto" w:fill="auto"/>
                  <w:noWrap/>
                  <w:vAlign w:val="center"/>
                </w:tcPr>
                <w:p>
                  <w:pPr>
                    <w:spacing w:line="240" w:lineRule="exact"/>
                    <w:jc w:val="center"/>
                    <w:rPr>
                      <w:b/>
                      <w:bCs/>
                      <w:u w:val="single"/>
                    </w:rPr>
                  </w:pPr>
                  <w:r>
                    <w:rPr>
                      <w:rFonts w:hint="eastAsia"/>
                      <w:b/>
                      <w:bCs/>
                      <w:u w:val="single"/>
                    </w:rPr>
                    <w:t>监测频率</w:t>
                  </w:r>
                </w:p>
              </w:tc>
              <w:tc>
                <w:tcPr>
                  <w:tcW w:w="3194" w:type="dxa"/>
                  <w:gridSpan w:val="2"/>
                  <w:shd w:val="clear" w:color="auto" w:fill="auto"/>
                  <w:noWrap/>
                  <w:vAlign w:val="center"/>
                </w:tcPr>
                <w:p>
                  <w:pPr>
                    <w:spacing w:line="240" w:lineRule="exact"/>
                    <w:jc w:val="center"/>
                    <w:rPr>
                      <w:b/>
                      <w:bCs/>
                      <w:u w:val="single"/>
                    </w:rPr>
                  </w:pPr>
                  <w:r>
                    <w:rPr>
                      <w:b/>
                      <w:bCs/>
                      <w:u w:val="single"/>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Merge w:val="continue"/>
                  <w:shd w:val="clear" w:color="auto" w:fill="auto"/>
                  <w:noWrap/>
                  <w:vAlign w:val="center"/>
                </w:tcPr>
                <w:p>
                  <w:pPr>
                    <w:spacing w:line="240" w:lineRule="exact"/>
                    <w:jc w:val="center"/>
                    <w:rPr>
                      <w:b/>
                      <w:bCs/>
                      <w:u w:val="single"/>
                    </w:rPr>
                  </w:pPr>
                </w:p>
              </w:tc>
              <w:tc>
                <w:tcPr>
                  <w:tcW w:w="1228" w:type="dxa"/>
                  <w:vMerge w:val="continue"/>
                  <w:shd w:val="clear" w:color="auto" w:fill="auto"/>
                  <w:noWrap/>
                  <w:vAlign w:val="center"/>
                </w:tcPr>
                <w:p>
                  <w:pPr>
                    <w:spacing w:line="240" w:lineRule="exact"/>
                    <w:jc w:val="center"/>
                    <w:rPr>
                      <w:b/>
                      <w:bCs/>
                      <w:u w:val="single"/>
                    </w:rPr>
                  </w:pPr>
                </w:p>
              </w:tc>
              <w:tc>
                <w:tcPr>
                  <w:tcW w:w="1240" w:type="dxa"/>
                  <w:vMerge w:val="continue"/>
                  <w:shd w:val="clear" w:color="auto" w:fill="auto"/>
                  <w:noWrap/>
                  <w:vAlign w:val="center"/>
                </w:tcPr>
                <w:p>
                  <w:pPr>
                    <w:spacing w:line="240" w:lineRule="exact"/>
                    <w:jc w:val="center"/>
                    <w:rPr>
                      <w:b/>
                      <w:bCs/>
                      <w:u w:val="single"/>
                    </w:rPr>
                  </w:pPr>
                </w:p>
              </w:tc>
              <w:tc>
                <w:tcPr>
                  <w:tcW w:w="1355" w:type="dxa"/>
                  <w:vMerge w:val="continue"/>
                  <w:shd w:val="clear" w:color="auto" w:fill="auto"/>
                  <w:noWrap/>
                  <w:vAlign w:val="center"/>
                </w:tcPr>
                <w:p>
                  <w:pPr>
                    <w:spacing w:line="240" w:lineRule="exact"/>
                    <w:jc w:val="center"/>
                    <w:rPr>
                      <w:b/>
                      <w:bCs/>
                      <w:u w:val="single"/>
                    </w:rPr>
                  </w:pPr>
                </w:p>
              </w:tc>
              <w:tc>
                <w:tcPr>
                  <w:tcW w:w="1719" w:type="dxa"/>
                  <w:shd w:val="clear" w:color="auto" w:fill="auto"/>
                  <w:noWrap/>
                  <w:vAlign w:val="center"/>
                </w:tcPr>
                <w:p>
                  <w:pPr>
                    <w:spacing w:line="240" w:lineRule="exact"/>
                    <w:jc w:val="center"/>
                    <w:rPr>
                      <w:b/>
                      <w:bCs/>
                      <w:u w:val="single"/>
                    </w:rPr>
                  </w:pPr>
                  <w:r>
                    <w:rPr>
                      <w:b/>
                      <w:bCs/>
                      <w:u w:val="single"/>
                    </w:rPr>
                    <w:t>名称</w:t>
                  </w:r>
                </w:p>
              </w:tc>
              <w:tc>
                <w:tcPr>
                  <w:tcW w:w="1475" w:type="dxa"/>
                  <w:shd w:val="clear" w:color="auto" w:fill="auto"/>
                  <w:noWrap/>
                  <w:vAlign w:val="center"/>
                </w:tcPr>
                <w:p>
                  <w:pPr>
                    <w:spacing w:line="240" w:lineRule="exact"/>
                    <w:jc w:val="center"/>
                    <w:rPr>
                      <w:b/>
                      <w:bCs/>
                      <w:u w:val="single"/>
                    </w:rPr>
                  </w:pPr>
                  <w:r>
                    <w:rPr>
                      <w:b/>
                      <w:bCs/>
                      <w:u w:val="single"/>
                    </w:rPr>
                    <w:t>浓限值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01" w:type="dxa"/>
                  <w:shd w:val="clear" w:color="auto" w:fill="auto"/>
                  <w:noWrap/>
                  <w:vAlign w:val="center"/>
                </w:tcPr>
                <w:p>
                  <w:pPr>
                    <w:spacing w:line="240" w:lineRule="exact"/>
                    <w:jc w:val="center"/>
                    <w:rPr>
                      <w:u w:val="single"/>
                    </w:rPr>
                  </w:pPr>
                  <w:r>
                    <w:rPr>
                      <w:rFonts w:hint="eastAsia"/>
                      <w:u w:val="single"/>
                    </w:rPr>
                    <w:t>废水</w:t>
                  </w:r>
                </w:p>
              </w:tc>
              <w:tc>
                <w:tcPr>
                  <w:tcW w:w="1228" w:type="dxa"/>
                  <w:shd w:val="clear" w:color="auto" w:fill="auto"/>
                  <w:noWrap/>
                  <w:vAlign w:val="center"/>
                </w:tcPr>
                <w:p>
                  <w:pPr>
                    <w:spacing w:line="240" w:lineRule="exact"/>
                    <w:jc w:val="center"/>
                    <w:rPr>
                      <w:u w:val="single"/>
                    </w:rPr>
                  </w:pPr>
                  <w:r>
                    <w:rPr>
                      <w:rFonts w:hint="eastAsia"/>
                      <w:u w:val="single"/>
                    </w:rPr>
                    <w:t>厂区</w:t>
                  </w:r>
                  <w:r>
                    <w:rPr>
                      <w:u w:val="single"/>
                    </w:rPr>
                    <w:t>废水</w:t>
                  </w:r>
                </w:p>
                <w:p>
                  <w:pPr>
                    <w:spacing w:line="240" w:lineRule="exact"/>
                    <w:jc w:val="center"/>
                    <w:rPr>
                      <w:u w:val="single"/>
                    </w:rPr>
                  </w:pPr>
                  <w:r>
                    <w:rPr>
                      <w:u w:val="single"/>
                    </w:rPr>
                    <w:t>总排口</w:t>
                  </w:r>
                </w:p>
              </w:tc>
              <w:tc>
                <w:tcPr>
                  <w:tcW w:w="1240" w:type="dxa"/>
                  <w:shd w:val="clear" w:color="auto" w:fill="auto"/>
                  <w:noWrap/>
                  <w:vAlign w:val="center"/>
                </w:tcPr>
                <w:p>
                  <w:pPr>
                    <w:spacing w:line="240" w:lineRule="exact"/>
                    <w:jc w:val="center"/>
                    <w:rPr>
                      <w:u w:val="single"/>
                    </w:rPr>
                  </w:pPr>
                  <w:r>
                    <w:rPr>
                      <w:u w:val="single"/>
                    </w:rPr>
                    <w:t>COD</w:t>
                  </w:r>
                </w:p>
                <w:p>
                  <w:pPr>
                    <w:spacing w:line="240" w:lineRule="exact"/>
                    <w:jc w:val="center"/>
                    <w:rPr>
                      <w:u w:val="single"/>
                    </w:rPr>
                  </w:pPr>
                  <w:r>
                    <w:rPr>
                      <w:u w:val="single"/>
                    </w:rPr>
                    <w:t>BOD5</w:t>
                  </w:r>
                </w:p>
                <w:p>
                  <w:pPr>
                    <w:spacing w:line="240" w:lineRule="exact"/>
                    <w:jc w:val="center"/>
                    <w:rPr>
                      <w:u w:val="single"/>
                    </w:rPr>
                  </w:pPr>
                  <w:r>
                    <w:rPr>
                      <w:u w:val="single"/>
                    </w:rPr>
                    <w:t>SS</w:t>
                  </w:r>
                </w:p>
                <w:p>
                  <w:pPr>
                    <w:spacing w:line="240" w:lineRule="exact"/>
                    <w:jc w:val="center"/>
                    <w:rPr>
                      <w:u w:val="single"/>
                    </w:rPr>
                  </w:pPr>
                  <w:r>
                    <w:rPr>
                      <w:u w:val="single"/>
                    </w:rPr>
                    <w:t>氨氮</w:t>
                  </w:r>
                </w:p>
                <w:p>
                  <w:pPr>
                    <w:spacing w:line="240" w:lineRule="exact"/>
                    <w:jc w:val="center"/>
                    <w:rPr>
                      <w:u w:val="single"/>
                    </w:rPr>
                  </w:pPr>
                  <w:r>
                    <w:rPr>
                      <w:u w:val="single"/>
                    </w:rPr>
                    <w:t>石油类</w:t>
                  </w:r>
                </w:p>
              </w:tc>
              <w:tc>
                <w:tcPr>
                  <w:tcW w:w="1355" w:type="dxa"/>
                  <w:shd w:val="clear" w:color="auto" w:fill="auto"/>
                  <w:noWrap/>
                  <w:vAlign w:val="center"/>
                </w:tcPr>
                <w:p>
                  <w:pPr>
                    <w:spacing w:line="240" w:lineRule="exact"/>
                    <w:jc w:val="center"/>
                    <w:rPr>
                      <w:u w:val="single"/>
                    </w:rPr>
                  </w:pPr>
                  <w:r>
                    <w:rPr>
                      <w:rFonts w:hint="eastAsia"/>
                      <w:u w:val="single"/>
                    </w:rPr>
                    <w:t>每年一次</w:t>
                  </w:r>
                </w:p>
              </w:tc>
              <w:tc>
                <w:tcPr>
                  <w:tcW w:w="1719" w:type="dxa"/>
                  <w:shd w:val="clear" w:color="auto" w:fill="auto"/>
                  <w:noWrap/>
                  <w:vAlign w:val="center"/>
                </w:tcPr>
                <w:p>
                  <w:pPr>
                    <w:spacing w:line="240" w:lineRule="exact"/>
                    <w:rPr>
                      <w:u w:val="single"/>
                    </w:rPr>
                  </w:pPr>
                  <w:r>
                    <w:rPr>
                      <w:u w:val="single"/>
                    </w:rPr>
                    <w:t>GB8978-1996《污水综合排放标准》中三级排放标准</w:t>
                  </w:r>
                </w:p>
              </w:tc>
              <w:tc>
                <w:tcPr>
                  <w:tcW w:w="1475" w:type="dxa"/>
                  <w:shd w:val="clear" w:color="auto" w:fill="auto"/>
                  <w:noWrap/>
                  <w:vAlign w:val="center"/>
                </w:tcPr>
                <w:p>
                  <w:pPr>
                    <w:spacing w:line="240" w:lineRule="exact"/>
                    <w:jc w:val="center"/>
                    <w:rPr>
                      <w:u w:val="single"/>
                    </w:rPr>
                  </w:pPr>
                  <w:r>
                    <w:rPr>
                      <w:u w:val="single"/>
                    </w:rPr>
                    <w:t>500</w:t>
                  </w:r>
                </w:p>
                <w:p>
                  <w:pPr>
                    <w:spacing w:line="240" w:lineRule="exact"/>
                    <w:jc w:val="center"/>
                    <w:rPr>
                      <w:u w:val="single"/>
                    </w:rPr>
                  </w:pPr>
                  <w:r>
                    <w:rPr>
                      <w:u w:val="single"/>
                    </w:rPr>
                    <w:t>300</w:t>
                  </w:r>
                </w:p>
                <w:p>
                  <w:pPr>
                    <w:spacing w:line="240" w:lineRule="exact"/>
                    <w:jc w:val="center"/>
                    <w:rPr>
                      <w:u w:val="single"/>
                    </w:rPr>
                  </w:pPr>
                  <w:r>
                    <w:rPr>
                      <w:u w:val="single"/>
                    </w:rPr>
                    <w:t>400</w:t>
                  </w:r>
                </w:p>
                <w:p>
                  <w:pPr>
                    <w:spacing w:line="240" w:lineRule="exact"/>
                    <w:jc w:val="center"/>
                    <w:rPr>
                      <w:u w:val="single"/>
                    </w:rPr>
                  </w:pPr>
                  <w:r>
                    <w:rPr>
                      <w:u w:val="single"/>
                    </w:rPr>
                    <w:t>/</w:t>
                  </w:r>
                </w:p>
                <w:p>
                  <w:pPr>
                    <w:spacing w:line="240" w:lineRule="exact"/>
                    <w:jc w:val="center"/>
                    <w:rPr>
                      <w:u w:val="single"/>
                    </w:rPr>
                  </w:pPr>
                  <w:r>
                    <w:rPr>
                      <w:u w:val="single"/>
                    </w:rPr>
                    <w:t>30</w:t>
                  </w:r>
                </w:p>
              </w:tc>
            </w:tr>
          </w:tbl>
          <w:p>
            <w:pPr>
              <w:widowControl/>
              <w:spacing w:line="360" w:lineRule="auto"/>
              <w:ind w:firstLine="480" w:firstLineChars="200"/>
              <w:jc w:val="left"/>
              <w:rPr>
                <w:sz w:val="24"/>
                <w:szCs w:val="24"/>
                <w:u w:val="single"/>
              </w:rPr>
            </w:pPr>
            <w:r>
              <w:rPr>
                <w:rFonts w:hint="eastAsia"/>
                <w:sz w:val="24"/>
                <w:szCs w:val="24"/>
                <w:u w:val="single"/>
                <w:lang w:val="en-US" w:eastAsia="zh-CN"/>
              </w:rPr>
              <w:t>生活</w:t>
            </w:r>
            <w:r>
              <w:rPr>
                <w:rFonts w:hint="eastAsia"/>
                <w:sz w:val="24"/>
                <w:szCs w:val="24"/>
                <w:u w:val="single"/>
                <w:lang w:eastAsia="zh-CN"/>
              </w:rPr>
              <w:t>污水依托</w:t>
            </w:r>
            <w:r>
              <w:rPr>
                <w:sz w:val="24"/>
                <w:szCs w:val="24"/>
                <w:u w:val="single"/>
              </w:rPr>
              <w:t>白城市污水处理厂依托可行性分析</w:t>
            </w:r>
            <w:r>
              <w:rPr>
                <w:rFonts w:hint="eastAsia"/>
                <w:sz w:val="24"/>
                <w:szCs w:val="24"/>
                <w:u w:val="single"/>
              </w:rPr>
              <w:t>：</w:t>
            </w:r>
          </w:p>
          <w:p>
            <w:pPr>
              <w:widowControl/>
              <w:spacing w:line="360" w:lineRule="auto"/>
              <w:ind w:firstLine="480" w:firstLineChars="200"/>
              <w:jc w:val="left"/>
              <w:rPr>
                <w:u w:val="single"/>
              </w:rPr>
            </w:pPr>
            <w:r>
              <w:rPr>
                <w:sz w:val="24"/>
                <w:szCs w:val="24"/>
                <w:u w:val="single"/>
              </w:rPr>
              <w:t>白城市污水处理厂（白城市三达水务有限公司）位于市区东侧白城工业园区内的丽江路，始建于2005年，目前设计处理规模为8万m</w:t>
            </w:r>
            <w:r>
              <w:rPr>
                <w:sz w:val="24"/>
                <w:szCs w:val="24"/>
                <w:u w:val="single"/>
                <w:vertAlign w:val="superscript"/>
              </w:rPr>
              <w:t>3</w:t>
            </w:r>
            <w:r>
              <w:rPr>
                <w:sz w:val="24"/>
                <w:szCs w:val="24"/>
                <w:u w:val="single"/>
              </w:rPr>
              <w:t>/d，共分两期建设，其中一期工程设计处理规模为5.0万m</w:t>
            </w:r>
            <w:r>
              <w:rPr>
                <w:sz w:val="24"/>
                <w:szCs w:val="24"/>
                <w:u w:val="single"/>
                <w:vertAlign w:val="superscript"/>
              </w:rPr>
              <w:t>3</w:t>
            </w:r>
            <w:r>
              <w:rPr>
                <w:sz w:val="24"/>
                <w:szCs w:val="24"/>
                <w:u w:val="single"/>
              </w:rPr>
              <w:t>/d，出水指标为《城镇污水处理厂污染物排放标准》（GB</w:t>
            </w:r>
            <w:r>
              <w:rPr>
                <w:rFonts w:hint="eastAsia"/>
                <w:sz w:val="24"/>
                <w:szCs w:val="24"/>
                <w:u w:val="single"/>
              </w:rPr>
              <w:t>1</w:t>
            </w:r>
            <w:r>
              <w:rPr>
                <w:sz w:val="24"/>
                <w:szCs w:val="24"/>
                <w:u w:val="single"/>
              </w:rPr>
              <w:t>8918-2002）中一级B类标准。二期工程位于处理厂院内，扩建污水处理规模3万m</w:t>
            </w:r>
            <w:r>
              <w:rPr>
                <w:sz w:val="24"/>
                <w:szCs w:val="24"/>
                <w:u w:val="single"/>
                <w:vertAlign w:val="superscript"/>
              </w:rPr>
              <w:t>3</w:t>
            </w:r>
            <w:r>
              <w:rPr>
                <w:sz w:val="24"/>
                <w:szCs w:val="24"/>
                <w:u w:val="single"/>
              </w:rPr>
              <w:t>/d，使污水厂总处理规模达到8万m</w:t>
            </w:r>
            <w:r>
              <w:rPr>
                <w:sz w:val="24"/>
                <w:szCs w:val="24"/>
                <w:u w:val="single"/>
                <w:vertAlign w:val="superscript"/>
              </w:rPr>
              <w:t>3</w:t>
            </w:r>
            <w:r>
              <w:rPr>
                <w:sz w:val="24"/>
                <w:szCs w:val="24"/>
                <w:u w:val="single"/>
              </w:rPr>
              <w:t>/d污水，新增8万m</w:t>
            </w:r>
            <w:r>
              <w:rPr>
                <w:sz w:val="24"/>
                <w:szCs w:val="24"/>
                <w:u w:val="single"/>
                <w:vertAlign w:val="superscript"/>
              </w:rPr>
              <w:t>3</w:t>
            </w:r>
            <w:r>
              <w:rPr>
                <w:sz w:val="24"/>
                <w:szCs w:val="24"/>
                <w:u w:val="single"/>
              </w:rPr>
              <w:t>/d深度处理系统一套，出水指标由原一级B提升至一级A，并更换老化、损坏污水处理设备，主要建设内容包括新建A2/O生化池、二沉池、集水井、中途提升泵池、深度处理间、污泥储池和变电所，并对原有部分构筑物进行改造。二期工程于2019年通过工程竣工环境保护验收，白城市</w:t>
            </w:r>
            <w:r>
              <w:rPr>
                <w:rFonts w:hint="default" w:asciiTheme="minorAscii" w:hAnsiTheme="minorAscii" w:eastAsiaTheme="minorEastAsia"/>
                <w:spacing w:val="-17"/>
                <w:sz w:val="24"/>
                <w:szCs w:val="24"/>
                <w:u w:val="single"/>
              </w:rPr>
              <w:t>污水处理厂于2019年5月24日取得排污许可证，证书编号为：91220800550453557K001W</w:t>
            </w:r>
            <w:r>
              <w:rPr>
                <w:sz w:val="24"/>
                <w:szCs w:val="24"/>
                <w:u w:val="single"/>
              </w:rPr>
              <w:t>。目前，白城市污水处理厂运行状态稳定。达到《城镇污水厂污染物排放标准》（GBl8918-2002）中一级A标准限值要求，白城市污水处理厂目前污水日处理规模约6.5万m</w:t>
            </w:r>
            <w:r>
              <w:rPr>
                <w:sz w:val="24"/>
                <w:szCs w:val="24"/>
                <w:u w:val="single"/>
                <w:vertAlign w:val="superscript"/>
              </w:rPr>
              <w:t>3</w:t>
            </w:r>
            <w:r>
              <w:rPr>
                <w:sz w:val="24"/>
                <w:szCs w:val="24"/>
                <w:u w:val="single"/>
              </w:rPr>
              <w:t>，尚有余量1.5万m</w:t>
            </w:r>
            <w:r>
              <w:rPr>
                <w:sz w:val="24"/>
                <w:szCs w:val="24"/>
                <w:u w:val="single"/>
                <w:vertAlign w:val="superscript"/>
              </w:rPr>
              <w:t>3</w:t>
            </w:r>
            <w:r>
              <w:rPr>
                <w:sz w:val="24"/>
                <w:szCs w:val="24"/>
                <w:u w:val="single"/>
              </w:rPr>
              <w:t>。工艺流程见下图</w:t>
            </w:r>
            <w:r>
              <w:rPr>
                <w:u w:val="single"/>
              </w:rPr>
              <w:t>。</w:t>
            </w:r>
            <w:r>
              <w:rPr>
                <w:u w:val="single"/>
              </w:rPr>
              <w:drawing>
                <wp:inline distT="0" distB="0" distL="0" distR="0">
                  <wp:extent cx="5012690" cy="2509520"/>
                  <wp:effectExtent l="0" t="0" r="3810" b="5080"/>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9.png"/>
                          <pic:cNvPicPr>
                            <a:picLocks noChangeAspect="1"/>
                          </pic:cNvPicPr>
                        </pic:nvPicPr>
                        <pic:blipFill>
                          <a:blip r:embed="rId16" cstate="print"/>
                          <a:stretch>
                            <a:fillRect/>
                          </a:stretch>
                        </pic:blipFill>
                        <pic:spPr>
                          <a:xfrm>
                            <a:off x="0" y="0"/>
                            <a:ext cx="5012690" cy="2509520"/>
                          </a:xfrm>
                          <a:prstGeom prst="rect">
                            <a:avLst/>
                          </a:prstGeom>
                        </pic:spPr>
                      </pic:pic>
                    </a:graphicData>
                  </a:graphic>
                </wp:inline>
              </w:drawing>
            </w:r>
          </w:p>
          <w:p>
            <w:pPr>
              <w:pStyle w:val="36"/>
              <w:ind w:left="1552"/>
              <w:jc w:val="both"/>
              <w:rPr>
                <w:b/>
                <w:bCs/>
                <w:u w:val="single"/>
                <w:lang w:eastAsia="zh-CN"/>
              </w:rPr>
            </w:pPr>
            <w:r>
              <w:rPr>
                <w:b/>
                <w:bCs/>
                <w:u w:val="single"/>
                <w:lang w:eastAsia="zh-CN"/>
              </w:rPr>
              <w:t>图</w:t>
            </w:r>
            <w:r>
              <w:rPr>
                <w:rFonts w:hint="eastAsia"/>
                <w:b/>
                <w:bCs/>
                <w:u w:val="single"/>
                <w:lang w:eastAsia="zh-CN"/>
              </w:rPr>
              <w:t>6</w:t>
            </w:r>
            <w:r>
              <w:rPr>
                <w:b/>
                <w:bCs/>
                <w:u w:val="single"/>
                <w:lang w:eastAsia="zh-CN"/>
              </w:rPr>
              <w:t xml:space="preserve">  白城市污水处理厂污水处理工艺流程示意图</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①本项目生活污水中主要污染物COD、BOD5、SS、氨氮的浓度分别为：250mg/L、产生量0.042t/a，200mg/L、产生量0.034t/a，200mg/L、产生量0.034t/a，30mg/L，产生量0.005t/a，满足白城市污水处理厂进水水质要求。</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②本项目废水总排放量约168t/a，不会对污水处理站运行造成冲击影响。</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综上所述，本项目生活污水进入白城市污水处理厂进行处理是可行的。</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、废气</w:t>
            </w:r>
          </w:p>
          <w:p>
            <w:pPr>
              <w:adjustRightInd w:val="0"/>
              <w:snapToGrid w:val="0"/>
              <w:spacing w:line="360" w:lineRule="auto"/>
              <w:ind w:firstLine="405"/>
              <w:rPr>
                <w:rFonts w:hint="eastAsia" w:ascii="宋体" w:hAnsi="宋体" w:eastAsia="宋体" w:cs="宋体"/>
                <w:b/>
                <w:bCs/>
                <w:sz w:val="24"/>
                <w:szCs w:val="24"/>
              </w:rPr>
            </w:pPr>
            <w:r>
              <w:rPr>
                <w:rFonts w:hint="eastAsia" w:ascii="宋体" w:hAnsi="宋体" w:eastAsia="宋体" w:cs="宋体"/>
                <w:b/>
                <w:bCs/>
                <w:sz w:val="24"/>
                <w:szCs w:val="24"/>
              </w:rPr>
              <w:t>（1）废气污染物种类及产排污情况</w:t>
            </w:r>
          </w:p>
          <w:p>
            <w:pPr>
              <w:adjustRightInd w:val="0"/>
              <w:snapToGrid w:val="0"/>
              <w:spacing w:line="360" w:lineRule="auto"/>
              <w:ind w:firstLine="405"/>
              <w:rPr>
                <w:rFonts w:hint="eastAsia" w:ascii="宋体" w:hAnsi="宋体" w:eastAsia="宋体" w:cs="宋体"/>
                <w:sz w:val="24"/>
                <w:szCs w:val="24"/>
              </w:rPr>
            </w:pPr>
            <w:r>
              <w:rPr>
                <w:rFonts w:hint="eastAsia" w:ascii="宋体" w:hAnsi="宋体" w:eastAsia="宋体" w:cs="宋体"/>
                <w:sz w:val="24"/>
                <w:szCs w:val="24"/>
              </w:rPr>
              <w:t>本项目废气产污环节主要为</w:t>
            </w:r>
            <w:r>
              <w:rPr>
                <w:rFonts w:hint="eastAsia" w:ascii="宋体" w:hAnsi="宋体" w:eastAsia="宋体" w:cs="宋体"/>
                <w:sz w:val="24"/>
                <w:szCs w:val="24"/>
                <w:lang w:eastAsia="zh-CN"/>
              </w:rPr>
              <w:t>拆解</w:t>
            </w:r>
            <w:r>
              <w:rPr>
                <w:rFonts w:hint="eastAsia" w:ascii="宋体" w:hAnsi="宋体" w:eastAsia="宋体" w:cs="宋体"/>
                <w:sz w:val="24"/>
                <w:szCs w:val="24"/>
              </w:rPr>
              <w:t>预处理及废机油</w:t>
            </w:r>
            <w:r>
              <w:rPr>
                <w:rFonts w:hint="eastAsia" w:ascii="宋体" w:hAnsi="宋体" w:eastAsia="宋体" w:cs="宋体"/>
                <w:sz w:val="24"/>
                <w:szCs w:val="24"/>
                <w:lang w:eastAsia="zh-CN"/>
              </w:rPr>
              <w:t>存</w:t>
            </w:r>
            <w:r>
              <w:rPr>
                <w:rFonts w:hint="eastAsia" w:ascii="宋体" w:hAnsi="宋体" w:eastAsia="宋体" w:cs="宋体"/>
                <w:sz w:val="24"/>
                <w:szCs w:val="24"/>
              </w:rPr>
              <w:t>储过程中产生的挥发性有机物，以及农机拆解过程中切割环节产生的粉尘。</w:t>
            </w:r>
          </w:p>
          <w:p>
            <w:pPr>
              <w:adjustRightInd w:val="0"/>
              <w:snapToGrid w:val="0"/>
              <w:spacing w:line="360" w:lineRule="auto"/>
              <w:ind w:firstLine="405"/>
            </w:pPr>
            <w:r>
              <w:rPr>
                <w:rFonts w:hint="eastAsia" w:ascii="宋体" w:hAnsi="宋体" w:eastAsia="宋体" w:cs="宋体"/>
                <w:sz w:val="24"/>
                <w:szCs w:val="24"/>
              </w:rPr>
              <w:t>本项目废气产排污节点、污染物及污染物治理设施详见下表。</w:t>
            </w:r>
          </w:p>
          <w:p>
            <w:pPr>
              <w:pStyle w:val="103"/>
              <w:adjustRightInd w:val="0"/>
              <w:snapToGrid w:val="0"/>
              <w:rPr>
                <w:sz w:val="24"/>
                <w:szCs w:val="24"/>
              </w:rPr>
            </w:pPr>
            <w:r>
              <w:rPr>
                <w:rFonts w:hint="eastAsia"/>
                <w:sz w:val="24"/>
                <w:szCs w:val="24"/>
              </w:rPr>
              <w:t>表3</w:t>
            </w:r>
            <w:r>
              <w:rPr>
                <w:rFonts w:hint="eastAsia"/>
                <w:sz w:val="24"/>
                <w:szCs w:val="24"/>
                <w:lang w:val="en-US" w:eastAsia="zh-CN"/>
              </w:rPr>
              <w:t>5</w:t>
            </w:r>
            <w:r>
              <w:rPr>
                <w:rFonts w:hint="eastAsia"/>
                <w:sz w:val="24"/>
                <w:szCs w:val="24"/>
              </w:rPr>
              <w:t xml:space="preserve">  </w:t>
            </w:r>
            <w:r>
              <w:rPr>
                <w:sz w:val="24"/>
                <w:szCs w:val="24"/>
              </w:rPr>
              <w:t>废气产排污节点、污染物及污染治理设施信息表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12"/>
              <w:gridCol w:w="1004"/>
              <w:gridCol w:w="791"/>
              <w:gridCol w:w="709"/>
              <w:gridCol w:w="1615"/>
              <w:gridCol w:w="675"/>
              <w:gridCol w:w="638"/>
              <w:gridCol w:w="16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5" w:hRule="atLeast"/>
                <w:tblHeader/>
                <w:jc w:val="center"/>
              </w:trPr>
              <w:tc>
                <w:tcPr>
                  <w:tcW w:w="712" w:type="dxa"/>
                  <w:vMerge w:val="restart"/>
                  <w:noWrap/>
                  <w:vAlign w:val="center"/>
                </w:tcPr>
                <w:p>
                  <w:pPr>
                    <w:pStyle w:val="104"/>
                    <w:jc w:val="center"/>
                    <w:rPr>
                      <w:b/>
                      <w:bCs/>
                    </w:rPr>
                  </w:pPr>
                  <w:r>
                    <w:rPr>
                      <w:b/>
                      <w:bCs/>
                    </w:rPr>
                    <w:t>序号</w:t>
                  </w:r>
                </w:p>
              </w:tc>
              <w:tc>
                <w:tcPr>
                  <w:tcW w:w="1004" w:type="dxa"/>
                  <w:vMerge w:val="restart"/>
                  <w:noWrap/>
                  <w:vAlign w:val="center"/>
                </w:tcPr>
                <w:p>
                  <w:pPr>
                    <w:pStyle w:val="104"/>
                    <w:jc w:val="center"/>
                    <w:rPr>
                      <w:b/>
                      <w:bCs/>
                    </w:rPr>
                  </w:pPr>
                  <w:r>
                    <w:rPr>
                      <w:b/>
                      <w:bCs/>
                    </w:rPr>
                    <w:t>产污环节名称</w:t>
                  </w:r>
                </w:p>
              </w:tc>
              <w:tc>
                <w:tcPr>
                  <w:tcW w:w="791" w:type="dxa"/>
                  <w:vMerge w:val="restart"/>
                  <w:noWrap/>
                  <w:vAlign w:val="center"/>
                </w:tcPr>
                <w:p>
                  <w:pPr>
                    <w:pStyle w:val="104"/>
                    <w:jc w:val="center"/>
                    <w:rPr>
                      <w:b/>
                      <w:bCs/>
                    </w:rPr>
                  </w:pPr>
                  <w:r>
                    <w:rPr>
                      <w:b/>
                      <w:bCs/>
                    </w:rPr>
                    <w:t>污染物种类</w:t>
                  </w:r>
                </w:p>
              </w:tc>
              <w:tc>
                <w:tcPr>
                  <w:tcW w:w="709" w:type="dxa"/>
                  <w:vMerge w:val="restart"/>
                  <w:noWrap/>
                  <w:vAlign w:val="center"/>
                </w:tcPr>
                <w:p>
                  <w:pPr>
                    <w:pStyle w:val="104"/>
                    <w:jc w:val="center"/>
                    <w:rPr>
                      <w:b/>
                      <w:bCs/>
                    </w:rPr>
                  </w:pPr>
                  <w:r>
                    <w:rPr>
                      <w:b/>
                      <w:bCs/>
                    </w:rPr>
                    <w:t>排放</w:t>
                  </w:r>
                </w:p>
                <w:p>
                  <w:pPr>
                    <w:pStyle w:val="104"/>
                    <w:jc w:val="center"/>
                    <w:rPr>
                      <w:b/>
                      <w:bCs/>
                    </w:rPr>
                  </w:pPr>
                  <w:r>
                    <w:rPr>
                      <w:b/>
                      <w:bCs/>
                    </w:rPr>
                    <w:t>形式</w:t>
                  </w:r>
                </w:p>
              </w:tc>
              <w:tc>
                <w:tcPr>
                  <w:tcW w:w="4535" w:type="dxa"/>
                  <w:gridSpan w:val="4"/>
                  <w:noWrap/>
                  <w:vAlign w:val="center"/>
                </w:tcPr>
                <w:p>
                  <w:pPr>
                    <w:pStyle w:val="104"/>
                    <w:jc w:val="center"/>
                    <w:rPr>
                      <w:b/>
                      <w:bCs/>
                    </w:rPr>
                  </w:pPr>
                  <w:r>
                    <w:rPr>
                      <w:b/>
                      <w:bCs/>
                    </w:rPr>
                    <w:t>污染治理设施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12" w:type="dxa"/>
                  <w:vMerge w:val="continue"/>
                  <w:noWrap/>
                  <w:vAlign w:val="center"/>
                </w:tcPr>
                <w:p>
                  <w:pPr>
                    <w:pStyle w:val="104"/>
                    <w:jc w:val="center"/>
                    <w:rPr>
                      <w:b/>
                      <w:bCs/>
                    </w:rPr>
                  </w:pPr>
                </w:p>
              </w:tc>
              <w:tc>
                <w:tcPr>
                  <w:tcW w:w="1004" w:type="dxa"/>
                  <w:vMerge w:val="continue"/>
                  <w:noWrap/>
                  <w:vAlign w:val="center"/>
                </w:tcPr>
                <w:p>
                  <w:pPr>
                    <w:pStyle w:val="104"/>
                    <w:jc w:val="center"/>
                    <w:rPr>
                      <w:b/>
                      <w:bCs/>
                    </w:rPr>
                  </w:pPr>
                </w:p>
              </w:tc>
              <w:tc>
                <w:tcPr>
                  <w:tcW w:w="791" w:type="dxa"/>
                  <w:vMerge w:val="continue"/>
                  <w:noWrap/>
                  <w:vAlign w:val="center"/>
                </w:tcPr>
                <w:p>
                  <w:pPr>
                    <w:pStyle w:val="104"/>
                    <w:jc w:val="center"/>
                    <w:rPr>
                      <w:b/>
                      <w:bCs/>
                    </w:rPr>
                  </w:pPr>
                </w:p>
              </w:tc>
              <w:tc>
                <w:tcPr>
                  <w:tcW w:w="709" w:type="dxa"/>
                  <w:vMerge w:val="continue"/>
                  <w:noWrap/>
                  <w:vAlign w:val="center"/>
                </w:tcPr>
                <w:p>
                  <w:pPr>
                    <w:pStyle w:val="104"/>
                    <w:jc w:val="center"/>
                    <w:rPr>
                      <w:b/>
                      <w:bCs/>
                    </w:rPr>
                  </w:pPr>
                </w:p>
              </w:tc>
              <w:tc>
                <w:tcPr>
                  <w:tcW w:w="1615" w:type="dxa"/>
                  <w:noWrap/>
                  <w:vAlign w:val="center"/>
                </w:tcPr>
                <w:p>
                  <w:pPr>
                    <w:pStyle w:val="104"/>
                    <w:jc w:val="center"/>
                    <w:rPr>
                      <w:b/>
                      <w:bCs/>
                    </w:rPr>
                  </w:pPr>
                  <w:r>
                    <w:rPr>
                      <w:b/>
                      <w:bCs/>
                    </w:rPr>
                    <w:t>名称及工艺</w:t>
                  </w:r>
                </w:p>
              </w:tc>
              <w:tc>
                <w:tcPr>
                  <w:tcW w:w="675" w:type="dxa"/>
                  <w:noWrap/>
                  <w:vAlign w:val="center"/>
                </w:tcPr>
                <w:p>
                  <w:pPr>
                    <w:pStyle w:val="104"/>
                    <w:jc w:val="center"/>
                    <w:rPr>
                      <w:b/>
                      <w:bCs/>
                    </w:rPr>
                  </w:pPr>
                  <w:r>
                    <w:rPr>
                      <w:b/>
                      <w:bCs/>
                    </w:rPr>
                    <w:t>收集</w:t>
                  </w:r>
                </w:p>
                <w:p>
                  <w:pPr>
                    <w:pStyle w:val="104"/>
                    <w:jc w:val="center"/>
                    <w:rPr>
                      <w:b/>
                      <w:bCs/>
                    </w:rPr>
                  </w:pPr>
                  <w:r>
                    <w:rPr>
                      <w:b/>
                      <w:bCs/>
                    </w:rPr>
                    <w:t>效率</w:t>
                  </w:r>
                </w:p>
              </w:tc>
              <w:tc>
                <w:tcPr>
                  <w:tcW w:w="638" w:type="dxa"/>
                  <w:noWrap/>
                  <w:vAlign w:val="center"/>
                </w:tcPr>
                <w:p>
                  <w:pPr>
                    <w:pStyle w:val="104"/>
                    <w:jc w:val="center"/>
                    <w:rPr>
                      <w:b/>
                      <w:bCs/>
                    </w:rPr>
                  </w:pPr>
                  <w:r>
                    <w:rPr>
                      <w:b/>
                      <w:bCs/>
                    </w:rPr>
                    <w:t>去除</w:t>
                  </w:r>
                </w:p>
                <w:p>
                  <w:pPr>
                    <w:pStyle w:val="104"/>
                    <w:jc w:val="center"/>
                    <w:rPr>
                      <w:b/>
                      <w:bCs/>
                    </w:rPr>
                  </w:pPr>
                  <w:r>
                    <w:rPr>
                      <w:b/>
                      <w:bCs/>
                    </w:rPr>
                    <w:t>效率</w:t>
                  </w:r>
                </w:p>
              </w:tc>
              <w:tc>
                <w:tcPr>
                  <w:tcW w:w="1607" w:type="dxa"/>
                  <w:noWrap/>
                  <w:vAlign w:val="center"/>
                </w:tcPr>
                <w:p>
                  <w:pPr>
                    <w:pStyle w:val="104"/>
                    <w:jc w:val="center"/>
                    <w:rPr>
                      <w:b/>
                      <w:bCs/>
                    </w:rPr>
                  </w:pPr>
                  <w:r>
                    <w:rPr>
                      <w:b/>
                      <w:bCs/>
                    </w:rPr>
                    <w:t>是否可行技术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9" w:hRule="atLeast"/>
                <w:tblHeader/>
                <w:jc w:val="center"/>
              </w:trPr>
              <w:tc>
                <w:tcPr>
                  <w:tcW w:w="712" w:type="dxa"/>
                  <w:vMerge w:val="restart"/>
                  <w:noWrap/>
                  <w:vAlign w:val="center"/>
                </w:tcPr>
                <w:p>
                  <w:pPr>
                    <w:adjustRightInd w:val="0"/>
                    <w:snapToGrid w:val="0"/>
                    <w:jc w:val="center"/>
                  </w:pPr>
                  <w:r>
                    <w:rPr>
                      <w:rFonts w:hint="eastAsia"/>
                    </w:rPr>
                    <w:t>1</w:t>
                  </w:r>
                </w:p>
              </w:tc>
              <w:tc>
                <w:tcPr>
                  <w:tcW w:w="1004" w:type="dxa"/>
                  <w:vMerge w:val="restart"/>
                  <w:noWrap/>
                  <w:vAlign w:val="center"/>
                </w:tcPr>
                <w:p>
                  <w:pPr>
                    <w:adjustRightInd w:val="0"/>
                    <w:snapToGrid w:val="0"/>
                    <w:jc w:val="center"/>
                  </w:pPr>
                  <w:r>
                    <w:rPr>
                      <w:rFonts w:hint="eastAsia"/>
                    </w:rPr>
                    <w:t>切割粉尘、压块粉尘</w:t>
                  </w:r>
                </w:p>
              </w:tc>
              <w:tc>
                <w:tcPr>
                  <w:tcW w:w="791" w:type="dxa"/>
                  <w:vMerge w:val="restart"/>
                  <w:noWrap/>
                  <w:vAlign w:val="center"/>
                </w:tcPr>
                <w:p>
                  <w:pPr>
                    <w:pStyle w:val="104"/>
                    <w:jc w:val="center"/>
                  </w:pPr>
                  <w:r>
                    <w:rPr>
                      <w:rFonts w:hint="eastAsia"/>
                    </w:rPr>
                    <w:t>颗粒物</w:t>
                  </w:r>
                </w:p>
              </w:tc>
              <w:tc>
                <w:tcPr>
                  <w:tcW w:w="709" w:type="dxa"/>
                  <w:noWrap/>
                  <w:vAlign w:val="center"/>
                </w:tcPr>
                <w:p>
                  <w:pPr>
                    <w:pStyle w:val="104"/>
                    <w:jc w:val="center"/>
                  </w:pPr>
                  <w:r>
                    <w:t>无组织</w:t>
                  </w:r>
                </w:p>
              </w:tc>
              <w:tc>
                <w:tcPr>
                  <w:tcW w:w="1615" w:type="dxa"/>
                  <w:noWrap/>
                  <w:vAlign w:val="center"/>
                </w:tcPr>
                <w:p>
                  <w:pPr>
                    <w:adjustRightInd w:val="0"/>
                    <w:snapToGrid w:val="0"/>
                    <w:jc w:val="center"/>
                  </w:pPr>
                  <w:r>
                    <w:rPr>
                      <w:rFonts w:hint="eastAsia"/>
                    </w:rPr>
                    <w:t>封闭式车间</w:t>
                  </w:r>
                </w:p>
              </w:tc>
              <w:tc>
                <w:tcPr>
                  <w:tcW w:w="675" w:type="dxa"/>
                  <w:noWrap/>
                  <w:vAlign w:val="center"/>
                </w:tcPr>
                <w:p>
                  <w:pPr>
                    <w:adjustRightInd w:val="0"/>
                    <w:snapToGrid w:val="0"/>
                    <w:jc w:val="center"/>
                  </w:pPr>
                  <w:r>
                    <w:rPr>
                      <w:rFonts w:hint="eastAsia"/>
                    </w:rPr>
                    <w:t>/</w:t>
                  </w:r>
                </w:p>
              </w:tc>
              <w:tc>
                <w:tcPr>
                  <w:tcW w:w="638" w:type="dxa"/>
                  <w:noWrap/>
                  <w:vAlign w:val="center"/>
                </w:tcPr>
                <w:p>
                  <w:pPr>
                    <w:adjustRightInd w:val="0"/>
                    <w:snapToGrid w:val="0"/>
                    <w:jc w:val="center"/>
                    <w:rPr>
                      <w:rFonts w:hint="eastAsia" w:eastAsiaTheme="minorEastAsia"/>
                      <w:lang w:val="en-US" w:eastAsia="zh-CN"/>
                    </w:rPr>
                  </w:pPr>
                  <w:r>
                    <w:rPr>
                      <w:rFonts w:hint="default"/>
                      <w:lang w:val="en-US"/>
                    </w:rPr>
                    <w:t>/</w:t>
                  </w:r>
                </w:p>
              </w:tc>
              <w:tc>
                <w:tcPr>
                  <w:tcW w:w="1607" w:type="dxa"/>
                  <w:noWrap/>
                  <w:vAlign w:val="center"/>
                </w:tcPr>
                <w:p>
                  <w:pPr>
                    <w:adjustRightInd w:val="0"/>
                    <w:snapToGrid w:val="0"/>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2" w:hRule="atLeast"/>
                <w:tblHeader/>
                <w:jc w:val="center"/>
              </w:trPr>
              <w:tc>
                <w:tcPr>
                  <w:tcW w:w="712" w:type="dxa"/>
                  <w:vMerge w:val="continue"/>
                  <w:noWrap/>
                  <w:vAlign w:val="center"/>
                </w:tcPr>
                <w:p>
                  <w:pPr>
                    <w:adjustRightInd w:val="0"/>
                    <w:snapToGrid w:val="0"/>
                    <w:jc w:val="center"/>
                  </w:pPr>
                </w:p>
              </w:tc>
              <w:tc>
                <w:tcPr>
                  <w:tcW w:w="1004" w:type="dxa"/>
                  <w:vMerge w:val="continue"/>
                  <w:noWrap/>
                  <w:vAlign w:val="center"/>
                </w:tcPr>
                <w:p>
                  <w:pPr>
                    <w:adjustRightInd w:val="0"/>
                    <w:snapToGrid w:val="0"/>
                    <w:jc w:val="center"/>
                  </w:pPr>
                </w:p>
              </w:tc>
              <w:tc>
                <w:tcPr>
                  <w:tcW w:w="791" w:type="dxa"/>
                  <w:vMerge w:val="continue"/>
                  <w:noWrap/>
                  <w:vAlign w:val="center"/>
                </w:tcPr>
                <w:p>
                  <w:pPr>
                    <w:pStyle w:val="104"/>
                    <w:jc w:val="center"/>
                  </w:pPr>
                </w:p>
              </w:tc>
              <w:tc>
                <w:tcPr>
                  <w:tcW w:w="709" w:type="dxa"/>
                  <w:noWrap/>
                  <w:vAlign w:val="center"/>
                </w:tcPr>
                <w:p>
                  <w:pPr>
                    <w:pStyle w:val="104"/>
                    <w:jc w:val="center"/>
                  </w:pPr>
                  <w:r>
                    <w:rPr>
                      <w:rFonts w:hint="eastAsia"/>
                    </w:rPr>
                    <w:t>有组织</w:t>
                  </w:r>
                </w:p>
              </w:tc>
              <w:tc>
                <w:tcPr>
                  <w:tcW w:w="1615" w:type="dxa"/>
                  <w:noWrap/>
                  <w:vAlign w:val="center"/>
                </w:tcPr>
                <w:p>
                  <w:pPr>
                    <w:adjustRightInd w:val="0"/>
                    <w:snapToGrid w:val="0"/>
                    <w:jc w:val="center"/>
                  </w:pPr>
                  <w:r>
                    <w:rPr>
                      <w:rFonts w:hint="eastAsia"/>
                    </w:rPr>
                    <w:t>集气罩+布袋除尘器+15m高排气筒</w:t>
                  </w:r>
                </w:p>
              </w:tc>
              <w:tc>
                <w:tcPr>
                  <w:tcW w:w="675" w:type="dxa"/>
                  <w:noWrap/>
                  <w:vAlign w:val="center"/>
                </w:tcPr>
                <w:p>
                  <w:pPr>
                    <w:adjustRightInd w:val="0"/>
                    <w:snapToGrid w:val="0"/>
                    <w:jc w:val="center"/>
                  </w:pPr>
                  <w:r>
                    <w:rPr>
                      <w:rFonts w:hint="eastAsia"/>
                    </w:rPr>
                    <w:t>90%</w:t>
                  </w:r>
                </w:p>
              </w:tc>
              <w:tc>
                <w:tcPr>
                  <w:tcW w:w="638" w:type="dxa"/>
                  <w:noWrap/>
                  <w:vAlign w:val="center"/>
                </w:tcPr>
                <w:p>
                  <w:pPr>
                    <w:adjustRightInd w:val="0"/>
                    <w:snapToGrid w:val="0"/>
                    <w:jc w:val="center"/>
                  </w:pPr>
                  <w:r>
                    <w:rPr>
                      <w:rFonts w:hint="eastAsia"/>
                    </w:rPr>
                    <w:t>99%</w:t>
                  </w:r>
                </w:p>
              </w:tc>
              <w:tc>
                <w:tcPr>
                  <w:tcW w:w="1607" w:type="dxa"/>
                  <w:vMerge w:val="restart"/>
                  <w:noWrap/>
                  <w:vAlign w:val="center"/>
                </w:tcPr>
                <w:p>
                  <w:pPr>
                    <w:adjustRightInd w:val="0"/>
                    <w:snapToGrid w:val="0"/>
                    <w:jc w:val="center"/>
                  </w:pPr>
                  <w:r>
                    <w:rPr>
                      <w:rFonts w:hint="eastAsia"/>
                    </w:rPr>
                    <w:t>是，《排污许可证申请与核发技术规范 废弃资源加工工业》（HJ1034- 2019）中可行技术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6" w:hRule="atLeast"/>
                <w:tblHeader/>
                <w:jc w:val="center"/>
              </w:trPr>
              <w:tc>
                <w:tcPr>
                  <w:tcW w:w="712" w:type="dxa"/>
                  <w:vMerge w:val="restart"/>
                  <w:noWrap/>
                  <w:vAlign w:val="center"/>
                </w:tcPr>
                <w:p>
                  <w:pPr>
                    <w:adjustRightInd w:val="0"/>
                    <w:snapToGrid w:val="0"/>
                    <w:jc w:val="center"/>
                    <w:rPr>
                      <w:rFonts w:hint="default" w:eastAsiaTheme="minorEastAsia"/>
                      <w:lang w:val="en-US" w:eastAsia="zh-CN"/>
                    </w:rPr>
                  </w:pPr>
                  <w:r>
                    <w:rPr>
                      <w:rFonts w:hint="eastAsia"/>
                      <w:lang w:val="en-US" w:eastAsia="zh-CN"/>
                    </w:rPr>
                    <w:t>2</w:t>
                  </w:r>
                </w:p>
              </w:tc>
              <w:tc>
                <w:tcPr>
                  <w:tcW w:w="1004" w:type="dxa"/>
                  <w:vMerge w:val="restart"/>
                  <w:noWrap/>
                  <w:vAlign w:val="center"/>
                </w:tcPr>
                <w:p>
                  <w:pPr>
                    <w:adjustRightInd w:val="0"/>
                    <w:snapToGrid w:val="0"/>
                    <w:jc w:val="center"/>
                  </w:pPr>
                  <w:r>
                    <w:rPr>
                      <w:rFonts w:hint="eastAsia"/>
                      <w:lang w:eastAsia="zh-CN"/>
                    </w:rPr>
                    <w:t>拆解</w:t>
                  </w:r>
                  <w:r>
                    <w:rPr>
                      <w:rFonts w:hint="eastAsia"/>
                    </w:rPr>
                    <w:t>预处理、废机油</w:t>
                  </w:r>
                  <w:r>
                    <w:rPr>
                      <w:rFonts w:hint="eastAsia"/>
                      <w:lang w:eastAsia="zh-CN"/>
                    </w:rPr>
                    <w:t>收</w:t>
                  </w:r>
                  <w:r>
                    <w:rPr>
                      <w:rFonts w:hint="eastAsia"/>
                    </w:rPr>
                    <w:t>储间</w:t>
                  </w:r>
                </w:p>
              </w:tc>
              <w:tc>
                <w:tcPr>
                  <w:tcW w:w="791" w:type="dxa"/>
                  <w:vMerge w:val="restart"/>
                  <w:noWrap/>
                  <w:vAlign w:val="center"/>
                </w:tcPr>
                <w:p>
                  <w:pPr>
                    <w:pStyle w:val="104"/>
                    <w:jc w:val="center"/>
                  </w:pPr>
                  <w:r>
                    <w:rPr>
                      <w:rFonts w:hint="eastAsia"/>
                    </w:rPr>
                    <w:t>非甲烷总烃</w:t>
                  </w:r>
                </w:p>
              </w:tc>
              <w:tc>
                <w:tcPr>
                  <w:tcW w:w="709" w:type="dxa"/>
                  <w:noWrap/>
                  <w:vAlign w:val="center"/>
                </w:tcPr>
                <w:p>
                  <w:pPr>
                    <w:pStyle w:val="104"/>
                    <w:jc w:val="center"/>
                  </w:pPr>
                  <w:r>
                    <w:rPr>
                      <w:rFonts w:hint="eastAsia"/>
                    </w:rPr>
                    <w:t>有组织</w:t>
                  </w:r>
                </w:p>
              </w:tc>
              <w:tc>
                <w:tcPr>
                  <w:tcW w:w="1615" w:type="dxa"/>
                  <w:noWrap/>
                  <w:vAlign w:val="center"/>
                </w:tcPr>
                <w:p>
                  <w:pPr>
                    <w:adjustRightInd w:val="0"/>
                    <w:snapToGrid w:val="0"/>
                    <w:jc w:val="center"/>
                  </w:pPr>
                  <w:r>
                    <w:rPr>
                      <w:rFonts w:hint="eastAsia"/>
                      <w:color w:val="auto"/>
                      <w:lang w:eastAsia="zh-CN"/>
                    </w:rPr>
                    <w:t>集</w:t>
                  </w:r>
                  <w:r>
                    <w:rPr>
                      <w:rFonts w:hint="eastAsia"/>
                    </w:rPr>
                    <w:t>气罩+活性炭吸附+15m高排气筒</w:t>
                  </w:r>
                </w:p>
              </w:tc>
              <w:tc>
                <w:tcPr>
                  <w:tcW w:w="675" w:type="dxa"/>
                  <w:noWrap/>
                  <w:vAlign w:val="center"/>
                </w:tcPr>
                <w:p>
                  <w:pPr>
                    <w:adjustRightInd w:val="0"/>
                    <w:snapToGrid w:val="0"/>
                    <w:jc w:val="center"/>
                  </w:pPr>
                  <w:r>
                    <w:rPr>
                      <w:rFonts w:hint="eastAsia"/>
                    </w:rPr>
                    <w:t>90%</w:t>
                  </w:r>
                </w:p>
              </w:tc>
              <w:tc>
                <w:tcPr>
                  <w:tcW w:w="638" w:type="dxa"/>
                  <w:noWrap/>
                  <w:vAlign w:val="center"/>
                </w:tcPr>
                <w:p>
                  <w:pPr>
                    <w:adjustRightInd w:val="0"/>
                    <w:snapToGrid w:val="0"/>
                    <w:jc w:val="center"/>
                  </w:pPr>
                  <w:r>
                    <w:rPr>
                      <w:rFonts w:hint="eastAsia"/>
                    </w:rPr>
                    <w:t>70%</w:t>
                  </w:r>
                </w:p>
              </w:tc>
              <w:tc>
                <w:tcPr>
                  <w:tcW w:w="1607" w:type="dxa"/>
                  <w:vMerge w:val="continue"/>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0" w:hRule="atLeast"/>
                <w:tblHeader/>
                <w:jc w:val="center"/>
              </w:trPr>
              <w:tc>
                <w:tcPr>
                  <w:tcW w:w="712" w:type="dxa"/>
                  <w:vMerge w:val="continue"/>
                  <w:noWrap/>
                  <w:vAlign w:val="center"/>
                </w:tcPr>
                <w:p>
                  <w:pPr>
                    <w:adjustRightInd w:val="0"/>
                    <w:snapToGrid w:val="0"/>
                    <w:jc w:val="center"/>
                    <w:rPr>
                      <w:rFonts w:hint="eastAsia"/>
                    </w:rPr>
                  </w:pPr>
                </w:p>
              </w:tc>
              <w:tc>
                <w:tcPr>
                  <w:tcW w:w="1004" w:type="dxa"/>
                  <w:vMerge w:val="continue"/>
                  <w:noWrap/>
                  <w:vAlign w:val="center"/>
                </w:tcPr>
                <w:p>
                  <w:pPr>
                    <w:adjustRightInd w:val="0"/>
                    <w:snapToGrid w:val="0"/>
                    <w:jc w:val="center"/>
                    <w:rPr>
                      <w:rFonts w:hint="eastAsia"/>
                      <w:lang w:eastAsia="zh-CN"/>
                    </w:rPr>
                  </w:pPr>
                </w:p>
              </w:tc>
              <w:tc>
                <w:tcPr>
                  <w:tcW w:w="791" w:type="dxa"/>
                  <w:vMerge w:val="continue"/>
                  <w:noWrap/>
                  <w:vAlign w:val="center"/>
                </w:tcPr>
                <w:p>
                  <w:pPr>
                    <w:pStyle w:val="104"/>
                    <w:jc w:val="center"/>
                    <w:rPr>
                      <w:rFonts w:hint="eastAsia"/>
                    </w:rPr>
                  </w:pPr>
                </w:p>
              </w:tc>
              <w:tc>
                <w:tcPr>
                  <w:tcW w:w="709" w:type="dxa"/>
                  <w:noWrap/>
                  <w:vAlign w:val="center"/>
                </w:tcPr>
                <w:p>
                  <w:pPr>
                    <w:pStyle w:val="104"/>
                    <w:jc w:val="center"/>
                    <w:rPr>
                      <w:rFonts w:hint="default" w:eastAsia="宋体"/>
                      <w:lang w:val="en-US" w:eastAsia="zh-CN"/>
                    </w:rPr>
                  </w:pPr>
                  <w:r>
                    <w:rPr>
                      <w:rFonts w:hint="eastAsia"/>
                      <w:lang w:eastAsia="zh-CN"/>
                    </w:rPr>
                    <w:t>无组织</w:t>
                  </w:r>
                </w:p>
              </w:tc>
              <w:tc>
                <w:tcPr>
                  <w:tcW w:w="1615" w:type="dxa"/>
                  <w:noWrap/>
                  <w:vAlign w:val="center"/>
                </w:tcPr>
                <w:p>
                  <w:pPr>
                    <w:adjustRightInd w:val="0"/>
                    <w:snapToGrid w:val="0"/>
                    <w:jc w:val="center"/>
                    <w:rPr>
                      <w:rFonts w:hint="eastAsia"/>
                      <w:color w:val="auto"/>
                      <w:lang w:eastAsia="zh-CN"/>
                    </w:rPr>
                  </w:pPr>
                  <w:r>
                    <w:rPr>
                      <w:rFonts w:hint="eastAsia"/>
                      <w:color w:val="auto"/>
                      <w:lang w:eastAsia="zh-CN"/>
                    </w:rPr>
                    <w:t>车间加强通风</w:t>
                  </w:r>
                </w:p>
              </w:tc>
              <w:tc>
                <w:tcPr>
                  <w:tcW w:w="675" w:type="dxa"/>
                  <w:noWrap/>
                  <w:vAlign w:val="center"/>
                </w:tcPr>
                <w:p>
                  <w:pPr>
                    <w:adjustRightInd w:val="0"/>
                    <w:snapToGrid w:val="0"/>
                    <w:jc w:val="center"/>
                    <w:rPr>
                      <w:rFonts w:hint="default"/>
                      <w:lang w:val="en-US"/>
                    </w:rPr>
                  </w:pPr>
                  <w:r>
                    <w:rPr>
                      <w:rFonts w:hint="default"/>
                      <w:lang w:val="en-US"/>
                    </w:rPr>
                    <w:t>/</w:t>
                  </w:r>
                </w:p>
              </w:tc>
              <w:tc>
                <w:tcPr>
                  <w:tcW w:w="638" w:type="dxa"/>
                  <w:noWrap/>
                  <w:vAlign w:val="center"/>
                </w:tcPr>
                <w:p>
                  <w:pPr>
                    <w:adjustRightInd w:val="0"/>
                    <w:snapToGrid w:val="0"/>
                    <w:jc w:val="center"/>
                    <w:rPr>
                      <w:rFonts w:hint="default"/>
                      <w:lang w:val="en-US"/>
                    </w:rPr>
                  </w:pPr>
                  <w:r>
                    <w:rPr>
                      <w:rFonts w:hint="default"/>
                      <w:lang w:val="en-US"/>
                    </w:rPr>
                    <w:t>/</w:t>
                  </w:r>
                </w:p>
              </w:tc>
              <w:tc>
                <w:tcPr>
                  <w:tcW w:w="1607" w:type="dxa"/>
                  <w:noWrap/>
                  <w:vAlign w:val="center"/>
                </w:tcPr>
                <w:p>
                  <w:pPr>
                    <w:adjustRightInd w:val="0"/>
                    <w:snapToGrid w:val="0"/>
                    <w:jc w:val="center"/>
                    <w:rPr>
                      <w:rFonts w:hint="eastAsia" w:eastAsiaTheme="minorEastAsia"/>
                      <w:lang w:val="en-US" w:eastAsia="zh-CN"/>
                    </w:rPr>
                  </w:pPr>
                  <w:r>
                    <w:rPr>
                      <w:rFonts w:hint="default"/>
                      <w:lang w:val="en-US"/>
                    </w:rPr>
                    <w:t>/</w:t>
                  </w:r>
                </w:p>
              </w:tc>
            </w:tr>
          </w:tbl>
          <w:p>
            <w:pPr>
              <w:pStyle w:val="33"/>
              <w:numPr>
                <w:ilvl w:val="0"/>
                <w:numId w:val="0"/>
              </w:numPr>
              <w:ind w:firstLine="422" w:firstLineChars="200"/>
              <w:jc w:val="both"/>
            </w:pPr>
          </w:p>
          <w:p>
            <w:pPr>
              <w:pStyle w:val="33"/>
              <w:numPr>
                <w:ilvl w:val="0"/>
                <w:numId w:val="0"/>
              </w:numPr>
              <w:spacing w:line="360" w:lineRule="auto"/>
              <w:ind w:firstLine="480" w:firstLineChars="200"/>
              <w:jc w:val="both"/>
              <w:rPr>
                <w:rFonts w:hint="eastAsia"/>
                <w:b w:val="0"/>
                <w:bCs/>
                <w:sz w:val="24"/>
                <w:szCs w:val="24"/>
              </w:rPr>
            </w:pPr>
            <w:r>
              <w:rPr>
                <w:rFonts w:hint="eastAsia"/>
                <w:b w:val="0"/>
                <w:bCs/>
                <w:sz w:val="24"/>
                <w:szCs w:val="24"/>
              </w:rPr>
              <w:t>本项目废气污染物主要包括农机</w:t>
            </w:r>
            <w:r>
              <w:rPr>
                <w:rFonts w:hint="eastAsia"/>
                <w:b w:val="0"/>
                <w:bCs/>
                <w:sz w:val="24"/>
                <w:szCs w:val="24"/>
                <w:lang w:eastAsia="zh-CN"/>
              </w:rPr>
              <w:t>车</w:t>
            </w:r>
            <w:r>
              <w:rPr>
                <w:rFonts w:hint="eastAsia"/>
                <w:b w:val="0"/>
                <w:bCs/>
                <w:sz w:val="24"/>
                <w:szCs w:val="24"/>
              </w:rPr>
              <w:t>拆解过程中切割</w:t>
            </w:r>
            <w:r>
              <w:rPr>
                <w:rFonts w:hint="eastAsia"/>
                <w:b w:val="0"/>
                <w:bCs/>
                <w:sz w:val="24"/>
                <w:szCs w:val="24"/>
                <w:lang w:eastAsia="zh-CN"/>
              </w:rPr>
              <w:t>、压块打包</w:t>
            </w:r>
            <w:r>
              <w:rPr>
                <w:rFonts w:hint="eastAsia"/>
                <w:b w:val="0"/>
                <w:bCs/>
                <w:sz w:val="24"/>
                <w:szCs w:val="24"/>
              </w:rPr>
              <w:t>环节产生的粉尘，</w:t>
            </w:r>
            <w:r>
              <w:rPr>
                <w:rFonts w:hint="eastAsia"/>
                <w:b w:val="0"/>
                <w:bCs/>
                <w:sz w:val="24"/>
                <w:szCs w:val="24"/>
                <w:lang w:eastAsia="zh-CN"/>
              </w:rPr>
              <w:t>拆解</w:t>
            </w:r>
            <w:r>
              <w:rPr>
                <w:rFonts w:hint="eastAsia"/>
                <w:b w:val="0"/>
                <w:bCs/>
                <w:sz w:val="24"/>
                <w:szCs w:val="24"/>
              </w:rPr>
              <w:t>预处理及废机储存储时产生的挥发性有机物（以非甲烷总烃计），颗粒物和非甲烷总烃有组织排放标准及厂界无组织排放标准为《大气污染物综合排放标准》（GB16297-1996）表2标准；厂内（厂房外）挥发性有机物执行《挥发性有机物无组织排放控制标准》（GB37822-2019）表A.1排放限值。废气污染物产排情况详见下表：</w:t>
            </w:r>
          </w:p>
          <w:p>
            <w:pPr>
              <w:rPr>
                <w:rFonts w:hint="eastAsia"/>
                <w:b w:val="0"/>
                <w:bCs/>
                <w:sz w:val="24"/>
                <w:szCs w:val="24"/>
              </w:rPr>
            </w:pPr>
          </w:p>
          <w:p>
            <w:pPr>
              <w:pStyle w:val="2"/>
              <w:rPr>
                <w:rFonts w:hint="eastAsia"/>
                <w:b w:val="0"/>
                <w:bCs/>
                <w:sz w:val="24"/>
                <w:szCs w:val="24"/>
              </w:rPr>
            </w:pPr>
          </w:p>
          <w:p>
            <w:pPr>
              <w:pStyle w:val="3"/>
              <w:rPr>
                <w:rFonts w:hint="eastAsia"/>
                <w:b w:val="0"/>
                <w:bCs/>
                <w:sz w:val="24"/>
                <w:szCs w:val="24"/>
              </w:rPr>
            </w:pPr>
          </w:p>
          <w:p>
            <w:pPr>
              <w:pStyle w:val="3"/>
              <w:rPr>
                <w:rFonts w:hint="eastAsia"/>
                <w:b w:val="0"/>
                <w:bCs/>
                <w:sz w:val="24"/>
                <w:szCs w:val="24"/>
              </w:rPr>
            </w:pPr>
          </w:p>
          <w:p>
            <w:pPr>
              <w:spacing w:line="360" w:lineRule="auto"/>
              <w:jc w:val="center"/>
              <w:rPr>
                <w:b/>
                <w:bCs/>
                <w:sz w:val="24"/>
                <w:szCs w:val="24"/>
              </w:rPr>
            </w:pPr>
            <w:r>
              <w:rPr>
                <w:rFonts w:hint="eastAsia"/>
                <w:b/>
                <w:bCs/>
                <w:sz w:val="24"/>
                <w:szCs w:val="24"/>
              </w:rPr>
              <w:t>表3</w:t>
            </w:r>
            <w:r>
              <w:rPr>
                <w:rFonts w:hint="eastAsia"/>
                <w:b/>
                <w:bCs/>
                <w:sz w:val="24"/>
                <w:szCs w:val="24"/>
                <w:lang w:val="en-US" w:eastAsia="zh-CN"/>
              </w:rPr>
              <w:t>6</w:t>
            </w:r>
            <w:r>
              <w:rPr>
                <w:rFonts w:hint="eastAsia"/>
                <w:b/>
                <w:bCs/>
                <w:sz w:val="24"/>
                <w:szCs w:val="24"/>
              </w:rPr>
              <w:t xml:space="preserve">  本项目废气污染物产排情况一览表</w:t>
            </w:r>
          </w:p>
          <w:tbl>
            <w:tblPr>
              <w:tblStyle w:val="25"/>
              <w:tblW w:w="471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8"/>
              <w:gridCol w:w="808"/>
              <w:gridCol w:w="744"/>
              <w:gridCol w:w="1010"/>
              <w:gridCol w:w="751"/>
              <w:gridCol w:w="815"/>
              <w:gridCol w:w="834"/>
              <w:gridCol w:w="17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878" w:type="dxa"/>
                  <w:tcBorders>
                    <w:tl2br w:val="nil"/>
                    <w:tr2bl w:val="nil"/>
                  </w:tcBorders>
                  <w:vAlign w:val="center"/>
                </w:tcPr>
                <w:p>
                  <w:pPr>
                    <w:pStyle w:val="31"/>
                    <w:spacing w:line="240" w:lineRule="auto"/>
                    <w:jc w:val="center"/>
                    <w:rPr>
                      <w:sz w:val="21"/>
                      <w:szCs w:val="21"/>
                    </w:rPr>
                  </w:pPr>
                  <w:r>
                    <w:rPr>
                      <w:rFonts w:hint="eastAsia"/>
                      <w:sz w:val="21"/>
                      <w:szCs w:val="21"/>
                    </w:rPr>
                    <w:t>产污</w:t>
                  </w:r>
                </w:p>
                <w:p>
                  <w:pPr>
                    <w:pStyle w:val="31"/>
                    <w:spacing w:line="240" w:lineRule="auto"/>
                    <w:jc w:val="center"/>
                    <w:rPr>
                      <w:sz w:val="21"/>
                      <w:szCs w:val="21"/>
                    </w:rPr>
                  </w:pPr>
                  <w:r>
                    <w:rPr>
                      <w:rFonts w:hint="eastAsia"/>
                      <w:sz w:val="21"/>
                      <w:szCs w:val="21"/>
                    </w:rPr>
                    <w:t>环节</w:t>
                  </w:r>
                </w:p>
              </w:tc>
              <w:tc>
                <w:tcPr>
                  <w:tcW w:w="808" w:type="dxa"/>
                  <w:tcBorders>
                    <w:tl2br w:val="nil"/>
                    <w:tr2bl w:val="nil"/>
                  </w:tcBorders>
                  <w:vAlign w:val="center"/>
                </w:tcPr>
                <w:p>
                  <w:pPr>
                    <w:pStyle w:val="31"/>
                    <w:spacing w:line="240" w:lineRule="auto"/>
                    <w:jc w:val="center"/>
                    <w:rPr>
                      <w:sz w:val="21"/>
                      <w:szCs w:val="21"/>
                    </w:rPr>
                  </w:pPr>
                  <w:r>
                    <w:rPr>
                      <w:rFonts w:hint="eastAsia"/>
                      <w:sz w:val="21"/>
                      <w:szCs w:val="21"/>
                    </w:rPr>
                    <w:t>污染物</w:t>
                  </w:r>
                </w:p>
              </w:tc>
              <w:tc>
                <w:tcPr>
                  <w:tcW w:w="744" w:type="dxa"/>
                  <w:tcBorders>
                    <w:left w:val="single" w:color="auto" w:sz="4" w:space="0"/>
                    <w:tl2br w:val="nil"/>
                    <w:tr2bl w:val="nil"/>
                  </w:tcBorders>
                  <w:vAlign w:val="center"/>
                </w:tcPr>
                <w:p>
                  <w:pPr>
                    <w:pStyle w:val="31"/>
                    <w:spacing w:line="240" w:lineRule="auto"/>
                    <w:jc w:val="center"/>
                    <w:rPr>
                      <w:sz w:val="21"/>
                      <w:szCs w:val="21"/>
                    </w:rPr>
                  </w:pPr>
                  <w:r>
                    <w:rPr>
                      <w:rFonts w:hint="eastAsia"/>
                      <w:sz w:val="21"/>
                      <w:szCs w:val="21"/>
                    </w:rPr>
                    <w:t>排放形式</w:t>
                  </w:r>
                </w:p>
              </w:tc>
              <w:tc>
                <w:tcPr>
                  <w:tcW w:w="1010" w:type="dxa"/>
                  <w:tcBorders>
                    <w:tl2br w:val="nil"/>
                    <w:tr2bl w:val="nil"/>
                  </w:tcBorders>
                  <w:vAlign w:val="center"/>
                </w:tcPr>
                <w:p>
                  <w:pPr>
                    <w:pStyle w:val="31"/>
                    <w:spacing w:line="240" w:lineRule="auto"/>
                    <w:jc w:val="center"/>
                    <w:rPr>
                      <w:sz w:val="21"/>
                      <w:szCs w:val="21"/>
                    </w:rPr>
                  </w:pPr>
                  <w:r>
                    <w:rPr>
                      <w:rFonts w:hint="eastAsia"/>
                      <w:sz w:val="21"/>
                      <w:szCs w:val="21"/>
                    </w:rPr>
                    <w:t>排放口</w:t>
                  </w:r>
                </w:p>
                <w:p>
                  <w:pPr>
                    <w:pStyle w:val="31"/>
                    <w:spacing w:line="240" w:lineRule="auto"/>
                    <w:jc w:val="center"/>
                    <w:rPr>
                      <w:sz w:val="21"/>
                      <w:szCs w:val="21"/>
                    </w:rPr>
                  </w:pPr>
                  <w:r>
                    <w:rPr>
                      <w:rFonts w:hint="eastAsia"/>
                      <w:sz w:val="21"/>
                      <w:szCs w:val="21"/>
                    </w:rPr>
                    <w:t>简况</w:t>
                  </w:r>
                </w:p>
              </w:tc>
              <w:tc>
                <w:tcPr>
                  <w:tcW w:w="751" w:type="dxa"/>
                  <w:tcBorders>
                    <w:tl2br w:val="nil"/>
                    <w:tr2bl w:val="nil"/>
                  </w:tcBorders>
                  <w:vAlign w:val="center"/>
                </w:tcPr>
                <w:p>
                  <w:pPr>
                    <w:pStyle w:val="31"/>
                    <w:spacing w:line="240" w:lineRule="auto"/>
                    <w:jc w:val="center"/>
                    <w:rPr>
                      <w:sz w:val="21"/>
                      <w:szCs w:val="21"/>
                    </w:rPr>
                  </w:pPr>
                  <w:r>
                    <w:rPr>
                      <w:rFonts w:hint="eastAsia"/>
                      <w:sz w:val="21"/>
                      <w:szCs w:val="21"/>
                    </w:rPr>
                    <w:t>产生量t/a</w:t>
                  </w:r>
                </w:p>
              </w:tc>
              <w:tc>
                <w:tcPr>
                  <w:tcW w:w="815"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sz w:val="21"/>
                      <w:szCs w:val="21"/>
                    </w:rPr>
                  </w:pPr>
                  <w:r>
                    <w:rPr>
                      <w:rFonts w:hint="eastAsia"/>
                      <w:sz w:val="21"/>
                      <w:szCs w:val="21"/>
                    </w:rPr>
                    <w:t>排放速率kg/h</w:t>
                  </w:r>
                </w:p>
              </w:tc>
              <w:tc>
                <w:tcPr>
                  <w:tcW w:w="834" w:type="dxa"/>
                  <w:tcBorders>
                    <w:tl2br w:val="nil"/>
                    <w:tr2bl w:val="nil"/>
                  </w:tcBorders>
                  <w:vAlign w:val="center"/>
                </w:tcPr>
                <w:p>
                  <w:pPr>
                    <w:pStyle w:val="31"/>
                    <w:spacing w:line="240" w:lineRule="auto"/>
                    <w:jc w:val="center"/>
                    <w:rPr>
                      <w:sz w:val="21"/>
                      <w:szCs w:val="21"/>
                    </w:rPr>
                  </w:pPr>
                  <w:r>
                    <w:rPr>
                      <w:rFonts w:hint="eastAsia"/>
                      <w:sz w:val="21"/>
                      <w:szCs w:val="21"/>
                    </w:rPr>
                    <w:t>排放量t/a</w:t>
                  </w:r>
                </w:p>
              </w:tc>
              <w:tc>
                <w:tcPr>
                  <w:tcW w:w="1725" w:type="dxa"/>
                  <w:tcBorders>
                    <w:tl2br w:val="nil"/>
                    <w:tr2bl w:val="nil"/>
                  </w:tcBorders>
                  <w:vAlign w:val="center"/>
                </w:tcPr>
                <w:p>
                  <w:pPr>
                    <w:pStyle w:val="31"/>
                    <w:spacing w:line="240" w:lineRule="auto"/>
                    <w:jc w:val="center"/>
                    <w:rPr>
                      <w:sz w:val="21"/>
                      <w:szCs w:val="21"/>
                    </w:rPr>
                  </w:pPr>
                  <w:r>
                    <w:rPr>
                      <w:rFonts w:hint="eastAsia"/>
                      <w:sz w:val="21"/>
                      <w:szCs w:val="21"/>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878" w:type="dxa"/>
                  <w:vMerge w:val="restart"/>
                  <w:tcBorders>
                    <w:tl2br w:val="nil"/>
                    <w:tr2bl w:val="nil"/>
                  </w:tcBorders>
                  <w:vAlign w:val="center"/>
                </w:tcPr>
                <w:p>
                  <w:pPr>
                    <w:adjustRightInd w:val="0"/>
                    <w:snapToGrid w:val="0"/>
                    <w:jc w:val="center"/>
                    <w:rPr>
                      <w:sz w:val="21"/>
                      <w:szCs w:val="21"/>
                    </w:rPr>
                  </w:pPr>
                  <w:r>
                    <w:rPr>
                      <w:rFonts w:hint="eastAsia"/>
                      <w:sz w:val="21"/>
                      <w:szCs w:val="21"/>
                    </w:rPr>
                    <w:t>预处理、废机油储存间</w:t>
                  </w:r>
                </w:p>
              </w:tc>
              <w:tc>
                <w:tcPr>
                  <w:tcW w:w="808" w:type="dxa"/>
                  <w:vMerge w:val="restart"/>
                  <w:tcBorders>
                    <w:tl2br w:val="nil"/>
                    <w:tr2bl w:val="nil"/>
                  </w:tcBorders>
                  <w:vAlign w:val="center"/>
                </w:tcPr>
                <w:p>
                  <w:pPr>
                    <w:adjustRightInd w:val="0"/>
                    <w:snapToGrid w:val="0"/>
                    <w:jc w:val="center"/>
                    <w:rPr>
                      <w:rFonts w:hint="eastAsia"/>
                      <w:sz w:val="21"/>
                      <w:szCs w:val="21"/>
                    </w:rPr>
                  </w:pPr>
                  <w:r>
                    <w:rPr>
                      <w:rFonts w:hint="eastAsia"/>
                      <w:sz w:val="21"/>
                      <w:szCs w:val="21"/>
                    </w:rPr>
                    <w:t>NMHC</w:t>
                  </w:r>
                </w:p>
              </w:tc>
              <w:tc>
                <w:tcPr>
                  <w:tcW w:w="744" w:type="dxa"/>
                  <w:vMerge w:val="restart"/>
                  <w:tcBorders>
                    <w:left w:val="single" w:color="auto" w:sz="4" w:space="0"/>
                    <w:tl2br w:val="nil"/>
                    <w:tr2bl w:val="nil"/>
                  </w:tcBorders>
                  <w:vAlign w:val="center"/>
                </w:tcPr>
                <w:p>
                  <w:pPr>
                    <w:adjustRightInd w:val="0"/>
                    <w:snapToGrid w:val="0"/>
                    <w:jc w:val="center"/>
                    <w:rPr>
                      <w:rFonts w:hint="eastAsia"/>
                      <w:sz w:val="21"/>
                      <w:szCs w:val="21"/>
                    </w:rPr>
                  </w:pPr>
                  <w:r>
                    <w:rPr>
                      <w:rFonts w:hint="eastAsia"/>
                      <w:sz w:val="21"/>
                      <w:szCs w:val="21"/>
                    </w:rPr>
                    <w:t>无</w:t>
                  </w:r>
                </w:p>
                <w:p>
                  <w:pPr>
                    <w:adjustRightInd w:val="0"/>
                    <w:snapToGrid w:val="0"/>
                    <w:jc w:val="center"/>
                    <w:rPr>
                      <w:rFonts w:hint="eastAsia"/>
                      <w:sz w:val="21"/>
                      <w:szCs w:val="21"/>
                    </w:rPr>
                  </w:pPr>
                  <w:r>
                    <w:rPr>
                      <w:rFonts w:hint="eastAsia"/>
                      <w:sz w:val="21"/>
                      <w:szCs w:val="21"/>
                    </w:rPr>
                    <w:t>组</w:t>
                  </w:r>
                </w:p>
                <w:p>
                  <w:pPr>
                    <w:adjustRightInd w:val="0"/>
                    <w:snapToGrid w:val="0"/>
                    <w:jc w:val="center"/>
                    <w:rPr>
                      <w:rFonts w:hint="eastAsia"/>
                      <w:sz w:val="21"/>
                      <w:szCs w:val="21"/>
                    </w:rPr>
                  </w:pPr>
                  <w:r>
                    <w:rPr>
                      <w:rFonts w:hint="eastAsia"/>
                      <w:sz w:val="21"/>
                      <w:szCs w:val="21"/>
                    </w:rPr>
                    <w:t>织</w:t>
                  </w:r>
                </w:p>
              </w:tc>
              <w:tc>
                <w:tcPr>
                  <w:tcW w:w="1010" w:type="dxa"/>
                  <w:tcBorders>
                    <w:bottom w:val="single" w:color="000000" w:sz="2" w:space="0"/>
                    <w:tl2br w:val="nil"/>
                    <w:tr2bl w:val="nil"/>
                  </w:tcBorders>
                  <w:vAlign w:val="center"/>
                </w:tcPr>
                <w:p>
                  <w:pPr>
                    <w:adjustRightInd w:val="0"/>
                    <w:snapToGrid w:val="0"/>
                    <w:jc w:val="center"/>
                    <w:rPr>
                      <w:rFonts w:hint="eastAsia"/>
                      <w:sz w:val="21"/>
                      <w:szCs w:val="21"/>
                    </w:rPr>
                  </w:pPr>
                  <w:r>
                    <w:rPr>
                      <w:rFonts w:hint="eastAsia"/>
                      <w:sz w:val="21"/>
                      <w:szCs w:val="21"/>
                    </w:rPr>
                    <w:t>拆解车间外（厂区内）</w:t>
                  </w:r>
                </w:p>
              </w:tc>
              <w:tc>
                <w:tcPr>
                  <w:tcW w:w="751" w:type="dxa"/>
                  <w:vMerge w:val="restart"/>
                  <w:tcBorders>
                    <w:tl2br w:val="nil"/>
                    <w:tr2bl w:val="nil"/>
                  </w:tcBorders>
                  <w:vAlign w:val="center"/>
                </w:tcPr>
                <w:p>
                  <w:pPr>
                    <w:adjustRightInd w:val="0"/>
                    <w:snapToGrid w:val="0"/>
                    <w:jc w:val="center"/>
                    <w:rPr>
                      <w:rFonts w:hint="eastAsia"/>
                      <w:sz w:val="21"/>
                      <w:szCs w:val="21"/>
                    </w:rPr>
                  </w:pPr>
                  <w:r>
                    <w:rPr>
                      <w:rFonts w:hint="eastAsia"/>
                      <w:sz w:val="21"/>
                      <w:szCs w:val="21"/>
                    </w:rPr>
                    <w:t>0.0</w:t>
                  </w:r>
                  <w:r>
                    <w:rPr>
                      <w:rFonts w:hint="eastAsia"/>
                      <w:sz w:val="21"/>
                      <w:szCs w:val="21"/>
                      <w:lang w:val="en-US" w:eastAsia="zh-CN"/>
                    </w:rPr>
                    <w:t>13</w:t>
                  </w:r>
                </w:p>
              </w:tc>
              <w:tc>
                <w:tcPr>
                  <w:tcW w:w="815" w:type="dxa"/>
                  <w:vMerge w:val="restart"/>
                  <w:tcBorders>
                    <w:tl2br w:val="nil"/>
                    <w:tr2bl w:val="nil"/>
                  </w:tcBorders>
                  <w:vAlign w:val="center"/>
                </w:tcPr>
                <w:p>
                  <w:pPr>
                    <w:adjustRightInd w:val="0"/>
                    <w:snapToGrid w:val="0"/>
                    <w:jc w:val="center"/>
                    <w:rPr>
                      <w:rFonts w:hint="eastAsia"/>
                      <w:sz w:val="21"/>
                      <w:szCs w:val="21"/>
                    </w:rPr>
                  </w:pPr>
                  <w:r>
                    <w:rPr>
                      <w:rFonts w:hint="eastAsia"/>
                      <w:sz w:val="21"/>
                      <w:szCs w:val="21"/>
                    </w:rPr>
                    <w:t>0.0046</w:t>
                  </w:r>
                </w:p>
              </w:tc>
              <w:tc>
                <w:tcPr>
                  <w:tcW w:w="834" w:type="dxa"/>
                  <w:vMerge w:val="restart"/>
                  <w:tcBorders>
                    <w:tl2br w:val="nil"/>
                    <w:tr2bl w:val="nil"/>
                  </w:tcBorders>
                  <w:vAlign w:val="center"/>
                </w:tcPr>
                <w:p>
                  <w:pPr>
                    <w:adjustRightInd w:val="0"/>
                    <w:snapToGrid w:val="0"/>
                    <w:jc w:val="center"/>
                    <w:rPr>
                      <w:rFonts w:hint="eastAsia"/>
                      <w:sz w:val="21"/>
                      <w:szCs w:val="21"/>
                    </w:rPr>
                  </w:pPr>
                  <w:r>
                    <w:rPr>
                      <w:rFonts w:hint="eastAsia"/>
                      <w:sz w:val="21"/>
                      <w:szCs w:val="21"/>
                    </w:rPr>
                    <w:t>0.013</w:t>
                  </w:r>
                </w:p>
              </w:tc>
              <w:tc>
                <w:tcPr>
                  <w:tcW w:w="1725" w:type="dxa"/>
                  <w:vMerge w:val="restart"/>
                  <w:tcBorders>
                    <w:tl2br w:val="nil"/>
                    <w:tr2bl w:val="nil"/>
                  </w:tcBorders>
                  <w:vAlign w:val="center"/>
                </w:tcPr>
                <w:p>
                  <w:pPr>
                    <w:pStyle w:val="82"/>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sz w:val="21"/>
                      <w:szCs w:val="21"/>
                    </w:rPr>
                  </w:pPr>
                  <w:r>
                    <w:rPr>
                      <w:rFonts w:hint="eastAsia"/>
                      <w:sz w:val="21"/>
                      <w:szCs w:val="21"/>
                    </w:rPr>
                    <w:t>厂区内执行《挥发性有机物无组织排放控制标准》（GB37822- 2019）表A.1排放限值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878" w:type="dxa"/>
                  <w:vMerge w:val="continue"/>
                  <w:tcBorders>
                    <w:tl2br w:val="nil"/>
                    <w:tr2bl w:val="nil"/>
                  </w:tcBorders>
                  <w:vAlign w:val="center"/>
                </w:tcPr>
                <w:p>
                  <w:pPr>
                    <w:pStyle w:val="82"/>
                    <w:adjustRightInd w:val="0"/>
                    <w:snapToGrid w:val="0"/>
                    <w:jc w:val="center"/>
                    <w:rPr>
                      <w:sz w:val="21"/>
                      <w:szCs w:val="21"/>
                    </w:rPr>
                  </w:pPr>
                </w:p>
              </w:tc>
              <w:tc>
                <w:tcPr>
                  <w:tcW w:w="808" w:type="dxa"/>
                  <w:vMerge w:val="continue"/>
                  <w:tcBorders>
                    <w:tl2br w:val="nil"/>
                    <w:tr2bl w:val="nil"/>
                  </w:tcBorders>
                  <w:vAlign w:val="center"/>
                </w:tcPr>
                <w:p>
                  <w:pPr>
                    <w:adjustRightInd w:val="0"/>
                    <w:snapToGrid w:val="0"/>
                    <w:jc w:val="center"/>
                    <w:rPr>
                      <w:rFonts w:hint="eastAsia"/>
                      <w:sz w:val="21"/>
                      <w:szCs w:val="21"/>
                    </w:rPr>
                  </w:pPr>
                </w:p>
              </w:tc>
              <w:tc>
                <w:tcPr>
                  <w:tcW w:w="744" w:type="dxa"/>
                  <w:vMerge w:val="continue"/>
                  <w:tcBorders>
                    <w:left w:val="single" w:color="auto" w:sz="4" w:space="0"/>
                    <w:tl2br w:val="nil"/>
                    <w:tr2bl w:val="nil"/>
                  </w:tcBorders>
                  <w:vAlign w:val="center"/>
                </w:tcPr>
                <w:p>
                  <w:pPr>
                    <w:adjustRightInd w:val="0"/>
                    <w:snapToGrid w:val="0"/>
                    <w:jc w:val="center"/>
                    <w:rPr>
                      <w:rFonts w:hint="eastAsia"/>
                      <w:sz w:val="21"/>
                      <w:szCs w:val="21"/>
                    </w:rPr>
                  </w:pPr>
                </w:p>
              </w:tc>
              <w:tc>
                <w:tcPr>
                  <w:tcW w:w="1010" w:type="dxa"/>
                  <w:tcBorders>
                    <w:bottom w:val="single" w:color="000000" w:sz="2" w:space="0"/>
                    <w:tl2br w:val="nil"/>
                    <w:tr2bl w:val="nil"/>
                  </w:tcBorders>
                  <w:vAlign w:val="center"/>
                </w:tcPr>
                <w:p>
                  <w:pPr>
                    <w:adjustRightInd w:val="0"/>
                    <w:snapToGrid w:val="0"/>
                    <w:jc w:val="center"/>
                    <w:rPr>
                      <w:rFonts w:hint="eastAsia"/>
                      <w:sz w:val="21"/>
                      <w:szCs w:val="21"/>
                    </w:rPr>
                  </w:pPr>
                  <w:r>
                    <w:rPr>
                      <w:rFonts w:hint="eastAsia"/>
                      <w:sz w:val="21"/>
                      <w:szCs w:val="21"/>
                    </w:rPr>
                    <w:t>厂界</w:t>
                  </w:r>
                </w:p>
              </w:tc>
              <w:tc>
                <w:tcPr>
                  <w:tcW w:w="751" w:type="dxa"/>
                  <w:vMerge w:val="continue"/>
                  <w:tcBorders>
                    <w:tl2br w:val="nil"/>
                    <w:tr2bl w:val="nil"/>
                  </w:tcBorders>
                  <w:vAlign w:val="center"/>
                </w:tcPr>
                <w:p>
                  <w:pPr>
                    <w:adjustRightInd w:val="0"/>
                    <w:snapToGrid w:val="0"/>
                    <w:jc w:val="center"/>
                    <w:rPr>
                      <w:rFonts w:hint="eastAsia"/>
                      <w:sz w:val="21"/>
                      <w:szCs w:val="21"/>
                    </w:rPr>
                  </w:pPr>
                </w:p>
              </w:tc>
              <w:tc>
                <w:tcPr>
                  <w:tcW w:w="815" w:type="dxa"/>
                  <w:vMerge w:val="continue"/>
                  <w:tcBorders>
                    <w:tl2br w:val="nil"/>
                    <w:tr2bl w:val="nil"/>
                  </w:tcBorders>
                  <w:vAlign w:val="center"/>
                </w:tcPr>
                <w:p>
                  <w:pPr>
                    <w:adjustRightInd w:val="0"/>
                    <w:snapToGrid w:val="0"/>
                    <w:jc w:val="center"/>
                    <w:rPr>
                      <w:rFonts w:hint="eastAsia"/>
                      <w:sz w:val="21"/>
                      <w:szCs w:val="21"/>
                    </w:rPr>
                  </w:pPr>
                </w:p>
              </w:tc>
              <w:tc>
                <w:tcPr>
                  <w:tcW w:w="834" w:type="dxa"/>
                  <w:vMerge w:val="continue"/>
                  <w:tcBorders>
                    <w:tl2br w:val="nil"/>
                    <w:tr2bl w:val="nil"/>
                  </w:tcBorders>
                  <w:vAlign w:val="center"/>
                </w:tcPr>
                <w:p>
                  <w:pPr>
                    <w:adjustRightInd w:val="0"/>
                    <w:snapToGrid w:val="0"/>
                    <w:jc w:val="center"/>
                    <w:rPr>
                      <w:rFonts w:hint="eastAsia"/>
                      <w:sz w:val="21"/>
                      <w:szCs w:val="21"/>
                    </w:rPr>
                  </w:pPr>
                </w:p>
              </w:tc>
              <w:tc>
                <w:tcPr>
                  <w:tcW w:w="1725" w:type="dxa"/>
                  <w:vMerge w:val="continue"/>
                  <w:tcBorders>
                    <w:tl2br w:val="nil"/>
                    <w:tr2bl w:val="nil"/>
                  </w:tcBorders>
                  <w:vAlign w:val="center"/>
                </w:tcPr>
                <w:p>
                  <w:pPr>
                    <w:pStyle w:val="82"/>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634" w:hRule="atLeast"/>
                <w:jc w:val="center"/>
              </w:trPr>
              <w:tc>
                <w:tcPr>
                  <w:tcW w:w="878" w:type="dxa"/>
                  <w:vMerge w:val="continue"/>
                  <w:tcBorders>
                    <w:tl2br w:val="nil"/>
                    <w:tr2bl w:val="nil"/>
                  </w:tcBorders>
                  <w:vAlign w:val="center"/>
                </w:tcPr>
                <w:p>
                  <w:pPr>
                    <w:pStyle w:val="82"/>
                    <w:adjustRightInd w:val="0"/>
                    <w:snapToGrid w:val="0"/>
                    <w:jc w:val="center"/>
                    <w:rPr>
                      <w:sz w:val="21"/>
                      <w:szCs w:val="21"/>
                    </w:rPr>
                  </w:pPr>
                </w:p>
              </w:tc>
              <w:tc>
                <w:tcPr>
                  <w:tcW w:w="808" w:type="dxa"/>
                  <w:vMerge w:val="continue"/>
                  <w:tcBorders>
                    <w:tl2br w:val="nil"/>
                    <w:tr2bl w:val="nil"/>
                  </w:tcBorders>
                  <w:vAlign w:val="center"/>
                </w:tcPr>
                <w:p>
                  <w:pPr>
                    <w:adjustRightInd w:val="0"/>
                    <w:snapToGrid w:val="0"/>
                    <w:jc w:val="center"/>
                    <w:rPr>
                      <w:rFonts w:hint="eastAsia"/>
                      <w:sz w:val="21"/>
                      <w:szCs w:val="21"/>
                    </w:rPr>
                  </w:pPr>
                </w:p>
              </w:tc>
              <w:tc>
                <w:tcPr>
                  <w:tcW w:w="744" w:type="dxa"/>
                  <w:tcBorders>
                    <w:left w:val="single" w:color="auto" w:sz="4" w:space="0"/>
                    <w:tl2br w:val="nil"/>
                    <w:tr2bl w:val="nil"/>
                  </w:tcBorders>
                  <w:vAlign w:val="center"/>
                </w:tcPr>
                <w:p>
                  <w:pPr>
                    <w:adjustRightInd w:val="0"/>
                    <w:snapToGrid w:val="0"/>
                    <w:jc w:val="center"/>
                    <w:rPr>
                      <w:rFonts w:hint="eastAsia"/>
                      <w:sz w:val="21"/>
                      <w:szCs w:val="21"/>
                    </w:rPr>
                  </w:pPr>
                  <w:r>
                    <w:rPr>
                      <w:rFonts w:hint="eastAsia"/>
                      <w:sz w:val="21"/>
                      <w:szCs w:val="21"/>
                    </w:rPr>
                    <w:t>有组织</w:t>
                  </w:r>
                </w:p>
              </w:tc>
              <w:tc>
                <w:tcPr>
                  <w:tcW w:w="1010" w:type="dxa"/>
                  <w:tcBorders>
                    <w:tl2br w:val="nil"/>
                    <w:tr2bl w:val="nil"/>
                  </w:tcBorders>
                  <w:vAlign w:val="center"/>
                </w:tcPr>
                <w:p>
                  <w:pPr>
                    <w:adjustRightInd w:val="0"/>
                    <w:snapToGrid w:val="0"/>
                    <w:jc w:val="center"/>
                    <w:rPr>
                      <w:rFonts w:hint="eastAsia"/>
                      <w:sz w:val="21"/>
                      <w:szCs w:val="21"/>
                    </w:rPr>
                  </w:pPr>
                  <w:r>
                    <w:rPr>
                      <w:rFonts w:hint="eastAsia"/>
                      <w:sz w:val="21"/>
                      <w:szCs w:val="21"/>
                    </w:rPr>
                    <w:t>DA00</w:t>
                  </w:r>
                </w:p>
                <w:p>
                  <w:pPr>
                    <w:adjustRightInd w:val="0"/>
                    <w:snapToGrid w:val="0"/>
                    <w:jc w:val="center"/>
                    <w:rPr>
                      <w:rFonts w:hint="eastAsia"/>
                      <w:sz w:val="21"/>
                      <w:szCs w:val="21"/>
                    </w:rPr>
                  </w:pPr>
                  <w:r>
                    <w:rPr>
                      <w:rFonts w:hint="eastAsia"/>
                      <w:sz w:val="21"/>
                      <w:szCs w:val="21"/>
                    </w:rPr>
                    <w:t>1排气筒</w:t>
                  </w:r>
                </w:p>
              </w:tc>
              <w:tc>
                <w:tcPr>
                  <w:tcW w:w="751" w:type="dxa"/>
                  <w:tcBorders>
                    <w:tl2br w:val="nil"/>
                    <w:tr2bl w:val="nil"/>
                  </w:tcBorders>
                  <w:vAlign w:val="center"/>
                </w:tcPr>
                <w:p>
                  <w:pPr>
                    <w:adjustRightInd w:val="0"/>
                    <w:snapToGrid w:val="0"/>
                    <w:jc w:val="center"/>
                    <w:rPr>
                      <w:rFonts w:hint="eastAsia"/>
                      <w:sz w:val="21"/>
                      <w:szCs w:val="21"/>
                    </w:rPr>
                  </w:pPr>
                  <w:r>
                    <w:rPr>
                      <w:rFonts w:hint="eastAsia"/>
                      <w:sz w:val="21"/>
                      <w:szCs w:val="21"/>
                    </w:rPr>
                    <w:t>0.13</w:t>
                  </w:r>
                </w:p>
              </w:tc>
              <w:tc>
                <w:tcPr>
                  <w:tcW w:w="815" w:type="dxa"/>
                  <w:tcBorders>
                    <w:tl2br w:val="nil"/>
                    <w:tr2bl w:val="nil"/>
                  </w:tcBorders>
                  <w:vAlign w:val="center"/>
                </w:tcPr>
                <w:p>
                  <w:pPr>
                    <w:adjustRightInd w:val="0"/>
                    <w:snapToGrid w:val="0"/>
                    <w:jc w:val="center"/>
                    <w:rPr>
                      <w:rFonts w:hint="eastAsia"/>
                      <w:sz w:val="21"/>
                      <w:szCs w:val="21"/>
                    </w:rPr>
                  </w:pPr>
                  <w:r>
                    <w:rPr>
                      <w:rFonts w:hint="eastAsia"/>
                      <w:sz w:val="21"/>
                      <w:szCs w:val="21"/>
                    </w:rPr>
                    <w:t>0.0139</w:t>
                  </w:r>
                </w:p>
              </w:tc>
              <w:tc>
                <w:tcPr>
                  <w:tcW w:w="834" w:type="dxa"/>
                  <w:tcBorders>
                    <w:tl2br w:val="nil"/>
                    <w:tr2bl w:val="nil"/>
                  </w:tcBorders>
                  <w:vAlign w:val="center"/>
                </w:tcPr>
                <w:p>
                  <w:pPr>
                    <w:adjustRightInd w:val="0"/>
                    <w:snapToGrid w:val="0"/>
                    <w:jc w:val="center"/>
                    <w:rPr>
                      <w:rFonts w:hint="eastAsia"/>
                      <w:sz w:val="21"/>
                      <w:szCs w:val="21"/>
                    </w:rPr>
                  </w:pPr>
                  <w:r>
                    <w:rPr>
                      <w:rFonts w:hint="eastAsia"/>
                      <w:sz w:val="21"/>
                      <w:szCs w:val="21"/>
                    </w:rPr>
                    <w:t>0.039</w:t>
                  </w:r>
                </w:p>
              </w:tc>
              <w:tc>
                <w:tcPr>
                  <w:tcW w:w="1725" w:type="dxa"/>
                  <w:vMerge w:val="restart"/>
                  <w:tcBorders>
                    <w:tl2br w:val="nil"/>
                    <w:tr2bl w:val="nil"/>
                  </w:tcBorders>
                  <w:vAlign w:val="center"/>
                </w:tcPr>
                <w:p>
                  <w:pPr>
                    <w:pStyle w:val="82"/>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sz w:val="21"/>
                      <w:szCs w:val="21"/>
                    </w:rPr>
                  </w:pPr>
                  <w:r>
                    <w:rPr>
                      <w:rFonts w:hint="eastAsia"/>
                      <w:sz w:val="21"/>
                      <w:szCs w:val="21"/>
                    </w:rPr>
                    <w:t>非甲烷总烃、颗粒物有组织排放及厂界无组织排放执行《大气污染物综合排放标准》</w:t>
                  </w:r>
                  <w:r>
                    <w:rPr>
                      <w:rFonts w:hint="default"/>
                      <w:sz w:val="21"/>
                      <w:szCs w:val="21"/>
                      <w:lang w:val="en-US"/>
                    </w:rPr>
                    <w:t>(</w:t>
                  </w:r>
                  <w:r>
                    <w:rPr>
                      <w:rFonts w:hint="eastAsia"/>
                      <w:sz w:val="21"/>
                      <w:szCs w:val="21"/>
                    </w:rPr>
                    <w:t>GB16297 -1996</w:t>
                  </w:r>
                  <w:r>
                    <w:rPr>
                      <w:rFonts w:hint="default"/>
                      <w:sz w:val="21"/>
                      <w:szCs w:val="21"/>
                      <w:lang w:val="en-US"/>
                    </w:rPr>
                    <w:t>)</w:t>
                  </w:r>
                  <w:r>
                    <w:rPr>
                      <w:rFonts w:hint="eastAsia"/>
                      <w:sz w:val="21"/>
                      <w:szCs w:val="21"/>
                    </w:rPr>
                    <w:t>中表2</w:t>
                  </w:r>
                </w:p>
                <w:p>
                  <w:pPr>
                    <w:pStyle w:val="82"/>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sz w:val="21"/>
                      <w:szCs w:val="21"/>
                    </w:rPr>
                  </w:pPr>
                  <w:r>
                    <w:rPr>
                      <w:rFonts w:hint="eastAsia"/>
                      <w:sz w:val="21"/>
                      <w:szCs w:val="21"/>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83" w:hRule="atLeast"/>
                <w:jc w:val="center"/>
              </w:trPr>
              <w:tc>
                <w:tcPr>
                  <w:tcW w:w="878" w:type="dxa"/>
                  <w:tcBorders>
                    <w:tl2br w:val="nil"/>
                    <w:tr2bl w:val="nil"/>
                  </w:tcBorders>
                  <w:vAlign w:val="center"/>
                </w:tcPr>
                <w:p>
                  <w:pPr>
                    <w:pStyle w:val="82"/>
                    <w:adjustRightInd w:val="0"/>
                    <w:snapToGrid w:val="0"/>
                    <w:jc w:val="center"/>
                    <w:rPr>
                      <w:sz w:val="21"/>
                      <w:szCs w:val="21"/>
                    </w:rPr>
                  </w:pPr>
                  <w:r>
                    <w:rPr>
                      <w:rFonts w:hint="eastAsia"/>
                      <w:sz w:val="21"/>
                      <w:szCs w:val="21"/>
                    </w:rPr>
                    <w:t>切割</w:t>
                  </w:r>
                </w:p>
                <w:p>
                  <w:pPr>
                    <w:pStyle w:val="82"/>
                    <w:adjustRightInd w:val="0"/>
                    <w:snapToGrid w:val="0"/>
                    <w:jc w:val="center"/>
                    <w:rPr>
                      <w:sz w:val="21"/>
                      <w:szCs w:val="21"/>
                    </w:rPr>
                  </w:pPr>
                  <w:r>
                    <w:rPr>
                      <w:rFonts w:hint="eastAsia"/>
                      <w:sz w:val="21"/>
                      <w:szCs w:val="21"/>
                    </w:rPr>
                    <w:t>粉尘</w:t>
                  </w:r>
                </w:p>
              </w:tc>
              <w:tc>
                <w:tcPr>
                  <w:tcW w:w="808" w:type="dxa"/>
                  <w:vMerge w:val="restart"/>
                  <w:tcBorders>
                    <w:tl2br w:val="nil"/>
                    <w:tr2bl w:val="nil"/>
                  </w:tcBorders>
                  <w:vAlign w:val="center"/>
                </w:tcPr>
                <w:p>
                  <w:pPr>
                    <w:pStyle w:val="82"/>
                    <w:adjustRightInd w:val="0"/>
                    <w:snapToGrid w:val="0"/>
                    <w:jc w:val="center"/>
                    <w:rPr>
                      <w:sz w:val="21"/>
                      <w:szCs w:val="21"/>
                    </w:rPr>
                  </w:pPr>
                  <w:r>
                    <w:rPr>
                      <w:rFonts w:hint="eastAsia"/>
                      <w:sz w:val="21"/>
                      <w:szCs w:val="21"/>
                    </w:rPr>
                    <w:t>颗</w:t>
                  </w:r>
                </w:p>
                <w:p>
                  <w:pPr>
                    <w:pStyle w:val="82"/>
                    <w:adjustRightInd w:val="0"/>
                    <w:snapToGrid w:val="0"/>
                    <w:jc w:val="center"/>
                    <w:rPr>
                      <w:sz w:val="21"/>
                      <w:szCs w:val="21"/>
                    </w:rPr>
                  </w:pPr>
                  <w:r>
                    <w:rPr>
                      <w:rFonts w:hint="eastAsia"/>
                      <w:sz w:val="21"/>
                      <w:szCs w:val="21"/>
                    </w:rPr>
                    <w:t>粒</w:t>
                  </w:r>
                </w:p>
                <w:p>
                  <w:pPr>
                    <w:pStyle w:val="82"/>
                    <w:adjustRightInd w:val="0"/>
                    <w:snapToGrid w:val="0"/>
                    <w:jc w:val="center"/>
                    <w:rPr>
                      <w:sz w:val="21"/>
                      <w:szCs w:val="21"/>
                    </w:rPr>
                  </w:pPr>
                  <w:r>
                    <w:rPr>
                      <w:rFonts w:hint="eastAsia"/>
                      <w:sz w:val="21"/>
                      <w:szCs w:val="21"/>
                    </w:rPr>
                    <w:t>物</w:t>
                  </w:r>
                </w:p>
              </w:tc>
              <w:tc>
                <w:tcPr>
                  <w:tcW w:w="744" w:type="dxa"/>
                  <w:tcBorders>
                    <w:left w:val="single" w:color="auto" w:sz="4" w:space="0"/>
                    <w:tl2br w:val="nil"/>
                    <w:tr2bl w:val="nil"/>
                  </w:tcBorders>
                  <w:vAlign w:val="center"/>
                </w:tcPr>
                <w:p>
                  <w:pPr>
                    <w:jc w:val="center"/>
                    <w:rPr>
                      <w:sz w:val="21"/>
                      <w:szCs w:val="21"/>
                    </w:rPr>
                  </w:pPr>
                  <w:r>
                    <w:rPr>
                      <w:rFonts w:hint="eastAsia"/>
                      <w:sz w:val="21"/>
                      <w:szCs w:val="21"/>
                      <w:lang w:val="en-GB"/>
                    </w:rPr>
                    <w:t>有组织</w:t>
                  </w:r>
                </w:p>
              </w:tc>
              <w:tc>
                <w:tcPr>
                  <w:tcW w:w="1010" w:type="dxa"/>
                  <w:tcBorders>
                    <w:top w:val="single" w:color="000000" w:sz="2" w:space="0"/>
                    <w:bottom w:val="single" w:color="000000" w:sz="2" w:space="0"/>
                    <w:tl2br w:val="nil"/>
                    <w:tr2bl w:val="nil"/>
                  </w:tcBorders>
                  <w:vAlign w:val="center"/>
                </w:tcPr>
                <w:p>
                  <w:pPr>
                    <w:jc w:val="center"/>
                    <w:rPr>
                      <w:rFonts w:hint="eastAsia" w:eastAsiaTheme="minorEastAsia"/>
                      <w:sz w:val="21"/>
                      <w:szCs w:val="21"/>
                      <w:lang w:val="en-GB" w:eastAsia="zh-CN"/>
                    </w:rPr>
                  </w:pPr>
                  <w:r>
                    <w:rPr>
                      <w:rFonts w:hint="eastAsia"/>
                      <w:sz w:val="21"/>
                      <w:szCs w:val="21"/>
                      <w:lang w:val="en-GB"/>
                    </w:rPr>
                    <w:t>DA00</w:t>
                  </w:r>
                  <w:r>
                    <w:rPr>
                      <w:rFonts w:hint="eastAsia"/>
                      <w:sz w:val="21"/>
                      <w:szCs w:val="21"/>
                      <w:lang w:val="en-US" w:eastAsia="zh-CN"/>
                    </w:rPr>
                    <w:t>2</w:t>
                  </w:r>
                </w:p>
                <w:p>
                  <w:pPr>
                    <w:jc w:val="center"/>
                    <w:rPr>
                      <w:sz w:val="21"/>
                      <w:szCs w:val="21"/>
                    </w:rPr>
                  </w:pPr>
                  <w:r>
                    <w:rPr>
                      <w:rFonts w:hint="eastAsia"/>
                      <w:sz w:val="21"/>
                      <w:szCs w:val="21"/>
                      <w:lang w:val="en-GB"/>
                    </w:rPr>
                    <w:t>排气筒</w:t>
                  </w:r>
                </w:p>
              </w:tc>
              <w:tc>
                <w:tcPr>
                  <w:tcW w:w="751" w:type="dxa"/>
                  <w:tcBorders>
                    <w:tl2br w:val="nil"/>
                    <w:tr2bl w:val="nil"/>
                  </w:tcBorders>
                  <w:vAlign w:val="center"/>
                </w:tcPr>
                <w:p>
                  <w:pPr>
                    <w:adjustRightInd w:val="0"/>
                    <w:snapToGrid w:val="0"/>
                    <w:jc w:val="center"/>
                    <w:rPr>
                      <w:rFonts w:hint="eastAsia"/>
                      <w:sz w:val="21"/>
                      <w:szCs w:val="21"/>
                    </w:rPr>
                  </w:pPr>
                  <w:r>
                    <w:rPr>
                      <w:rFonts w:hint="eastAsia"/>
                      <w:sz w:val="21"/>
                      <w:szCs w:val="21"/>
                    </w:rPr>
                    <w:t>0.</w:t>
                  </w:r>
                  <w:r>
                    <w:rPr>
                      <w:rFonts w:hint="eastAsia"/>
                      <w:sz w:val="21"/>
                      <w:szCs w:val="21"/>
                      <w:lang w:val="en-US" w:eastAsia="zh-CN"/>
                    </w:rPr>
                    <w:t>826</w:t>
                  </w:r>
                </w:p>
              </w:tc>
              <w:tc>
                <w:tcPr>
                  <w:tcW w:w="815" w:type="dxa"/>
                  <w:tcBorders>
                    <w:tl2br w:val="nil"/>
                    <w:tr2bl w:val="nil"/>
                  </w:tcBorders>
                  <w:vAlign w:val="center"/>
                </w:tcPr>
                <w:p>
                  <w:pPr>
                    <w:adjustRightInd w:val="0"/>
                    <w:snapToGrid w:val="0"/>
                    <w:jc w:val="center"/>
                    <w:rPr>
                      <w:rFonts w:hint="default"/>
                      <w:sz w:val="21"/>
                      <w:szCs w:val="21"/>
                      <w:lang w:val="en-US"/>
                    </w:rPr>
                  </w:pPr>
                  <w:r>
                    <w:rPr>
                      <w:rFonts w:hint="eastAsia"/>
                      <w:sz w:val="21"/>
                      <w:szCs w:val="21"/>
                    </w:rPr>
                    <w:t>0.</w:t>
                  </w:r>
                  <w:r>
                    <w:rPr>
                      <w:rFonts w:hint="eastAsia"/>
                      <w:sz w:val="21"/>
                      <w:szCs w:val="21"/>
                      <w:lang w:val="en-US" w:eastAsia="zh-CN"/>
                    </w:rPr>
                    <w:t>003</w:t>
                  </w:r>
                </w:p>
              </w:tc>
              <w:tc>
                <w:tcPr>
                  <w:tcW w:w="834" w:type="dxa"/>
                  <w:tcBorders>
                    <w:tl2br w:val="nil"/>
                    <w:tr2bl w:val="nil"/>
                  </w:tcBorders>
                  <w:vAlign w:val="center"/>
                </w:tcPr>
                <w:p>
                  <w:pPr>
                    <w:adjustRightInd w:val="0"/>
                    <w:snapToGrid w:val="0"/>
                    <w:jc w:val="center"/>
                    <w:rPr>
                      <w:rFonts w:hint="eastAsia"/>
                      <w:sz w:val="21"/>
                      <w:szCs w:val="21"/>
                    </w:rPr>
                  </w:pPr>
                  <w:r>
                    <w:rPr>
                      <w:rFonts w:hint="eastAsia"/>
                      <w:sz w:val="21"/>
                      <w:szCs w:val="21"/>
                    </w:rPr>
                    <w:t>0.00</w:t>
                  </w:r>
                  <w:r>
                    <w:rPr>
                      <w:rFonts w:hint="eastAsia"/>
                      <w:sz w:val="21"/>
                      <w:szCs w:val="21"/>
                      <w:lang w:val="en-US" w:eastAsia="zh-CN"/>
                    </w:rPr>
                    <w:t>83</w:t>
                  </w:r>
                </w:p>
              </w:tc>
              <w:tc>
                <w:tcPr>
                  <w:tcW w:w="1725" w:type="dxa"/>
                  <w:vMerge w:val="continue"/>
                  <w:tcBorders>
                    <w:tl2br w:val="nil"/>
                    <w:tr2bl w:val="nil"/>
                  </w:tcBorders>
                  <w:vAlign w:val="center"/>
                </w:tcPr>
                <w:p>
                  <w:pPr>
                    <w:pStyle w:val="82"/>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83" w:hRule="atLeast"/>
                <w:jc w:val="center"/>
              </w:trPr>
              <w:tc>
                <w:tcPr>
                  <w:tcW w:w="878" w:type="dxa"/>
                  <w:tcBorders>
                    <w:tl2br w:val="nil"/>
                    <w:tr2bl w:val="nil"/>
                  </w:tcBorders>
                  <w:vAlign w:val="center"/>
                </w:tcPr>
                <w:p>
                  <w:pPr>
                    <w:pStyle w:val="82"/>
                    <w:adjustRightInd w:val="0"/>
                    <w:snapToGrid w:val="0"/>
                    <w:jc w:val="center"/>
                    <w:rPr>
                      <w:sz w:val="21"/>
                      <w:szCs w:val="21"/>
                    </w:rPr>
                  </w:pPr>
                  <w:r>
                    <w:rPr>
                      <w:rFonts w:hint="eastAsia"/>
                      <w:sz w:val="21"/>
                      <w:szCs w:val="21"/>
                    </w:rPr>
                    <w:t>压块</w:t>
                  </w:r>
                </w:p>
                <w:p>
                  <w:pPr>
                    <w:pStyle w:val="82"/>
                    <w:adjustRightInd w:val="0"/>
                    <w:snapToGrid w:val="0"/>
                    <w:jc w:val="center"/>
                    <w:rPr>
                      <w:sz w:val="21"/>
                      <w:szCs w:val="21"/>
                    </w:rPr>
                  </w:pPr>
                  <w:r>
                    <w:rPr>
                      <w:rFonts w:hint="eastAsia"/>
                      <w:sz w:val="21"/>
                      <w:szCs w:val="21"/>
                    </w:rPr>
                    <w:t>粉尘</w:t>
                  </w:r>
                </w:p>
              </w:tc>
              <w:tc>
                <w:tcPr>
                  <w:tcW w:w="808" w:type="dxa"/>
                  <w:vMerge w:val="continue"/>
                  <w:tcBorders>
                    <w:tl2br w:val="nil"/>
                    <w:tr2bl w:val="nil"/>
                  </w:tcBorders>
                  <w:vAlign w:val="center"/>
                </w:tcPr>
                <w:p>
                  <w:pPr>
                    <w:pStyle w:val="82"/>
                    <w:adjustRightInd w:val="0"/>
                    <w:snapToGrid w:val="0"/>
                    <w:jc w:val="center"/>
                    <w:rPr>
                      <w:sz w:val="21"/>
                      <w:szCs w:val="21"/>
                    </w:rPr>
                  </w:pPr>
                </w:p>
              </w:tc>
              <w:tc>
                <w:tcPr>
                  <w:tcW w:w="744" w:type="dxa"/>
                  <w:tcBorders>
                    <w:left w:val="single" w:color="auto" w:sz="4" w:space="0"/>
                    <w:tl2br w:val="nil"/>
                    <w:tr2bl w:val="nil"/>
                  </w:tcBorders>
                  <w:vAlign w:val="center"/>
                </w:tcPr>
                <w:p>
                  <w:pPr>
                    <w:jc w:val="center"/>
                    <w:rPr>
                      <w:sz w:val="21"/>
                      <w:szCs w:val="21"/>
                    </w:rPr>
                  </w:pPr>
                  <w:r>
                    <w:rPr>
                      <w:rFonts w:hint="eastAsia"/>
                      <w:sz w:val="21"/>
                      <w:szCs w:val="21"/>
                      <w:lang w:val="en-GB"/>
                    </w:rPr>
                    <w:t>无组织</w:t>
                  </w:r>
                </w:p>
              </w:tc>
              <w:tc>
                <w:tcPr>
                  <w:tcW w:w="1010" w:type="dxa"/>
                  <w:tcBorders>
                    <w:top w:val="single" w:color="000000" w:sz="2" w:space="0"/>
                    <w:tl2br w:val="nil"/>
                    <w:tr2bl w:val="nil"/>
                  </w:tcBorders>
                  <w:vAlign w:val="center"/>
                </w:tcPr>
                <w:p>
                  <w:pPr>
                    <w:jc w:val="center"/>
                    <w:rPr>
                      <w:sz w:val="21"/>
                      <w:szCs w:val="21"/>
                    </w:rPr>
                  </w:pPr>
                  <w:r>
                    <w:rPr>
                      <w:rFonts w:hint="eastAsia"/>
                      <w:sz w:val="21"/>
                      <w:szCs w:val="21"/>
                      <w:lang w:val="en-GB"/>
                    </w:rPr>
                    <w:t>厂界</w:t>
                  </w:r>
                </w:p>
              </w:tc>
              <w:tc>
                <w:tcPr>
                  <w:tcW w:w="751" w:type="dxa"/>
                  <w:tcBorders>
                    <w:tl2br w:val="nil"/>
                    <w:tr2bl w:val="nil"/>
                  </w:tcBorders>
                  <w:vAlign w:val="center"/>
                </w:tcPr>
                <w:p>
                  <w:pPr>
                    <w:adjustRightInd w:val="0"/>
                    <w:snapToGrid w:val="0"/>
                    <w:jc w:val="center"/>
                    <w:rPr>
                      <w:rFonts w:hint="eastAsia"/>
                      <w:sz w:val="21"/>
                      <w:szCs w:val="21"/>
                    </w:rPr>
                  </w:pPr>
                  <w:r>
                    <w:rPr>
                      <w:rFonts w:hint="eastAsia"/>
                      <w:sz w:val="21"/>
                      <w:szCs w:val="21"/>
                      <w:lang w:val="en-US" w:eastAsia="zh-CN"/>
                    </w:rPr>
                    <w:t>0</w:t>
                  </w:r>
                  <w:r>
                    <w:rPr>
                      <w:rFonts w:hint="eastAsia"/>
                      <w:sz w:val="21"/>
                      <w:szCs w:val="21"/>
                    </w:rPr>
                    <w:t>.</w:t>
                  </w:r>
                  <w:r>
                    <w:rPr>
                      <w:rFonts w:hint="eastAsia"/>
                      <w:sz w:val="21"/>
                      <w:szCs w:val="21"/>
                      <w:lang w:val="en-US" w:eastAsia="zh-CN"/>
                    </w:rPr>
                    <w:t>008</w:t>
                  </w:r>
                </w:p>
              </w:tc>
              <w:tc>
                <w:tcPr>
                  <w:tcW w:w="815" w:type="dxa"/>
                  <w:tcBorders>
                    <w:tl2br w:val="nil"/>
                    <w:tr2bl w:val="nil"/>
                  </w:tcBorders>
                  <w:vAlign w:val="center"/>
                </w:tcPr>
                <w:p>
                  <w:pPr>
                    <w:adjustRightInd w:val="0"/>
                    <w:snapToGrid w:val="0"/>
                    <w:jc w:val="center"/>
                    <w:rPr>
                      <w:rFonts w:hint="default"/>
                      <w:sz w:val="21"/>
                      <w:szCs w:val="21"/>
                      <w:lang w:val="en-US"/>
                    </w:rPr>
                  </w:pPr>
                  <w:r>
                    <w:rPr>
                      <w:rFonts w:hint="eastAsia"/>
                      <w:sz w:val="21"/>
                      <w:szCs w:val="21"/>
                    </w:rPr>
                    <w:t>0.</w:t>
                  </w:r>
                  <w:r>
                    <w:rPr>
                      <w:rFonts w:hint="eastAsia"/>
                      <w:sz w:val="21"/>
                      <w:szCs w:val="21"/>
                      <w:lang w:val="en-US" w:eastAsia="zh-CN"/>
                    </w:rPr>
                    <w:t>0029</w:t>
                  </w:r>
                </w:p>
              </w:tc>
              <w:tc>
                <w:tcPr>
                  <w:tcW w:w="834" w:type="dxa"/>
                  <w:tcBorders>
                    <w:tl2br w:val="nil"/>
                    <w:tr2bl w:val="nil"/>
                  </w:tcBorders>
                  <w:vAlign w:val="center"/>
                </w:tcPr>
                <w:p>
                  <w:pPr>
                    <w:adjustRightInd w:val="0"/>
                    <w:snapToGrid w:val="0"/>
                    <w:jc w:val="center"/>
                    <w:rPr>
                      <w:rFonts w:hint="eastAsia"/>
                      <w:sz w:val="21"/>
                      <w:szCs w:val="21"/>
                    </w:rPr>
                  </w:pPr>
                  <w:r>
                    <w:rPr>
                      <w:rFonts w:hint="eastAsia"/>
                      <w:sz w:val="21"/>
                      <w:szCs w:val="21"/>
                    </w:rPr>
                    <w:t>0.0</w:t>
                  </w:r>
                  <w:r>
                    <w:rPr>
                      <w:rFonts w:hint="eastAsia"/>
                      <w:sz w:val="21"/>
                      <w:szCs w:val="21"/>
                      <w:lang w:val="en-US" w:eastAsia="zh-CN"/>
                    </w:rPr>
                    <w:t>04</w:t>
                  </w:r>
                </w:p>
              </w:tc>
              <w:tc>
                <w:tcPr>
                  <w:tcW w:w="1725" w:type="dxa"/>
                  <w:vMerge w:val="continue"/>
                  <w:tcBorders>
                    <w:tl2br w:val="nil"/>
                    <w:tr2bl w:val="nil"/>
                  </w:tcBorders>
                  <w:vAlign w:val="center"/>
                </w:tcPr>
                <w:p>
                  <w:pPr>
                    <w:pStyle w:val="82"/>
                    <w:adjustRightInd w:val="0"/>
                    <w:snapToGrid w:val="0"/>
                    <w:jc w:val="center"/>
                    <w:rPr>
                      <w:sz w:val="21"/>
                      <w:szCs w:val="21"/>
                    </w:rPr>
                  </w:pPr>
                </w:p>
              </w:tc>
            </w:tr>
          </w:tbl>
          <w:p>
            <w:pPr>
              <w:adjustRightInd w:val="0"/>
              <w:snapToGrid w:val="0"/>
              <w:spacing w:line="240" w:lineRule="auto"/>
              <w:ind w:firstLine="482" w:firstLineChars="200"/>
              <w:rPr>
                <w:rFonts w:hint="eastAsia"/>
                <w:b/>
                <w:bCs/>
                <w:sz w:val="24"/>
                <w:szCs w:val="24"/>
                <w:lang w:eastAsia="zh-CN"/>
              </w:rPr>
            </w:pPr>
          </w:p>
          <w:p>
            <w:pPr>
              <w:adjustRightInd w:val="0"/>
              <w:snapToGrid w:val="0"/>
              <w:spacing w:line="240" w:lineRule="auto"/>
              <w:ind w:firstLine="482" w:firstLineChars="200"/>
              <w:rPr>
                <w:b/>
                <w:bCs/>
                <w:sz w:val="24"/>
                <w:szCs w:val="24"/>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w:t>
            </w:r>
            <w:r>
              <w:rPr>
                <w:rFonts w:hint="eastAsia"/>
                <w:b/>
                <w:bCs/>
                <w:sz w:val="24"/>
                <w:szCs w:val="24"/>
              </w:rPr>
              <w:t>本项目运营期废气污染源情况</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b/>
                <w:bCs/>
                <w:sz w:val="24"/>
                <w:szCs w:val="24"/>
              </w:rPr>
            </w:pPr>
            <w:r>
              <w:rPr>
                <w:rFonts w:hint="eastAsia"/>
                <w:b/>
                <w:bCs/>
                <w:sz w:val="24"/>
                <w:szCs w:val="24"/>
                <w:lang w:val="en-US" w:eastAsia="zh-CN"/>
              </w:rPr>
              <w:t>1、</w:t>
            </w:r>
            <w:r>
              <w:rPr>
                <w:rFonts w:hint="eastAsia"/>
                <w:b/>
                <w:bCs/>
                <w:sz w:val="24"/>
                <w:szCs w:val="24"/>
              </w:rPr>
              <w:t>切割粉尘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报废农机在拆解后较大部件需进行切割，金属离子在空气中随即冷却形成颗粒物，产生一定环境影响。根据被切割件的性质特点，本项目切割烟尘主要成份为金属颗粒物。参考钢铁加工企业经验数据，每切割1t废钢产生的</w:t>
            </w:r>
            <w:r>
              <w:rPr>
                <w:rFonts w:hint="eastAsia"/>
                <w:sz w:val="24"/>
                <w:szCs w:val="24"/>
                <w:lang w:eastAsia="zh-CN"/>
              </w:rPr>
              <w:t>粉</w:t>
            </w:r>
            <w:r>
              <w:rPr>
                <w:rFonts w:hint="eastAsia"/>
                <w:sz w:val="24"/>
                <w:szCs w:val="24"/>
              </w:rPr>
              <w:t>尘约为1kg，本项目年拆解报废农机5000台，日均拆解台数为15台，报废农机拆解钢铁约为5510t/a，其中约10%需进行切割处理，切割部分按理论日平均拆解台数进行计算（15台），则切割烟尘产生量为0.</w:t>
            </w:r>
            <w:r>
              <w:rPr>
                <w:rFonts w:hint="eastAsia"/>
                <w:sz w:val="24"/>
                <w:szCs w:val="24"/>
                <w:lang w:val="en-US" w:eastAsia="zh-CN"/>
              </w:rPr>
              <w:t>0016</w:t>
            </w:r>
            <w:r>
              <w:rPr>
                <w:rFonts w:hint="eastAsia"/>
                <w:sz w:val="24"/>
                <w:szCs w:val="24"/>
              </w:rPr>
              <w:t>t/d（</w:t>
            </w:r>
            <w:r>
              <w:rPr>
                <w:rFonts w:hint="eastAsia"/>
                <w:sz w:val="24"/>
                <w:szCs w:val="24"/>
                <w:lang w:val="en-US" w:eastAsia="zh-CN"/>
              </w:rPr>
              <w:t>0.</w:t>
            </w:r>
            <w:r>
              <w:rPr>
                <w:rFonts w:hint="eastAsia"/>
                <w:sz w:val="24"/>
                <w:szCs w:val="24"/>
              </w:rPr>
              <w:t>5</w:t>
            </w:r>
            <w:r>
              <w:rPr>
                <w:rFonts w:hint="eastAsia"/>
                <w:sz w:val="24"/>
                <w:szCs w:val="24"/>
                <w:lang w:val="en-US" w:eastAsia="zh-CN"/>
              </w:rPr>
              <w:t>5</w:t>
            </w:r>
            <w:r>
              <w:rPr>
                <w:rFonts w:hint="eastAsia"/>
                <w:sz w:val="24"/>
                <w:szCs w:val="24"/>
              </w:rPr>
              <w:t>t/a），本项目日工作时长为8h，粉尘产生速率为0.</w:t>
            </w:r>
            <w:r>
              <w:rPr>
                <w:rFonts w:hint="eastAsia"/>
                <w:sz w:val="24"/>
                <w:szCs w:val="24"/>
                <w:lang w:val="en-US" w:eastAsia="zh-CN"/>
              </w:rPr>
              <w:t>20</w:t>
            </w:r>
            <w:r>
              <w:rPr>
                <w:rFonts w:hint="eastAsia"/>
                <w:sz w:val="24"/>
                <w:szCs w:val="24"/>
              </w:rPr>
              <w:t>kg/h。</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b/>
                <w:bCs/>
                <w:sz w:val="24"/>
                <w:szCs w:val="24"/>
              </w:rPr>
            </w:pPr>
            <w:r>
              <w:rPr>
                <w:rFonts w:hint="eastAsia"/>
                <w:b/>
                <w:bCs/>
                <w:sz w:val="24"/>
                <w:szCs w:val="24"/>
                <w:lang w:val="en-US" w:eastAsia="zh-CN"/>
              </w:rPr>
              <w:t>2、</w:t>
            </w:r>
            <w:r>
              <w:rPr>
                <w:rFonts w:hint="eastAsia"/>
                <w:b/>
                <w:bCs/>
                <w:sz w:val="24"/>
                <w:szCs w:val="24"/>
              </w:rPr>
              <w:t>压块打包粉尘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本项目金属拆解物使用压块打包机进行压块处理，然后再进行贮存或外售，压块过程会产生一定量的粉尘，产生的粉尘量较小，按金属拆解物的0.</w:t>
            </w:r>
            <w:r>
              <w:rPr>
                <w:rFonts w:hint="eastAsia"/>
                <w:sz w:val="24"/>
                <w:szCs w:val="24"/>
                <w:lang w:val="en-US" w:eastAsia="zh-CN"/>
              </w:rPr>
              <w:t>0</w:t>
            </w:r>
            <w:r>
              <w:rPr>
                <w:rFonts w:hint="eastAsia"/>
                <w:sz w:val="24"/>
                <w:szCs w:val="24"/>
              </w:rPr>
              <w:t>5‰计，本项目运营期年工作350d，每天8h，金属拆解物总重5510t/a，则产生量为</w:t>
            </w:r>
            <w:r>
              <w:rPr>
                <w:rFonts w:hint="eastAsia"/>
                <w:sz w:val="24"/>
                <w:szCs w:val="24"/>
                <w:lang w:val="en-US" w:eastAsia="zh-CN"/>
              </w:rPr>
              <w:t>0</w:t>
            </w:r>
            <w:r>
              <w:rPr>
                <w:rFonts w:hint="eastAsia"/>
                <w:sz w:val="24"/>
                <w:szCs w:val="24"/>
              </w:rPr>
              <w:t>.</w:t>
            </w:r>
            <w:r>
              <w:rPr>
                <w:rFonts w:hint="eastAsia"/>
                <w:sz w:val="24"/>
                <w:szCs w:val="24"/>
                <w:lang w:val="en-US" w:eastAsia="zh-CN"/>
              </w:rPr>
              <w:t>2</w:t>
            </w:r>
            <w:r>
              <w:rPr>
                <w:rFonts w:hint="eastAsia"/>
                <w:sz w:val="24"/>
                <w:szCs w:val="24"/>
              </w:rPr>
              <w:t>76t/a</w:t>
            </w:r>
            <w:r>
              <w:rPr>
                <w:rFonts w:hint="eastAsia"/>
                <w:sz w:val="24"/>
                <w:szCs w:val="24"/>
                <w:lang w:eastAsia="zh-CN"/>
              </w:rPr>
              <w:t>，</w:t>
            </w:r>
            <w:r>
              <w:rPr>
                <w:rFonts w:hint="eastAsia"/>
                <w:sz w:val="24"/>
                <w:szCs w:val="24"/>
              </w:rPr>
              <w:t>粉尘产生速率为0.</w:t>
            </w:r>
            <w:r>
              <w:rPr>
                <w:rFonts w:hint="eastAsia"/>
                <w:sz w:val="24"/>
                <w:szCs w:val="24"/>
                <w:lang w:val="en-US" w:eastAsia="zh-CN"/>
              </w:rPr>
              <w:t>099</w:t>
            </w:r>
            <w:r>
              <w:rPr>
                <w:rFonts w:hint="eastAsia"/>
                <w:sz w:val="24"/>
                <w:szCs w:val="24"/>
              </w:rPr>
              <w:t>kg/h。</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本项目在压块打包环节和切割粉尘工位上方设置集尘罩，设计风量为5000m</w:t>
            </w:r>
            <w:r>
              <w:rPr>
                <w:rFonts w:hint="eastAsia"/>
                <w:sz w:val="24"/>
                <w:szCs w:val="24"/>
                <w:vertAlign w:val="superscript"/>
              </w:rPr>
              <w:t>3</w:t>
            </w:r>
            <w:r>
              <w:rPr>
                <w:rFonts w:hint="eastAsia"/>
                <w:sz w:val="24"/>
                <w:szCs w:val="24"/>
              </w:rPr>
              <w:t>/h，切割粉尘和压块粉尘通过集气罩收集后，使用袋式除尘器进行处理，集气罩集气效率按90%，袋式除尘器除尘效率按99%计，本项目年工作350天，每天8h，则本项目颗粒物有组织排放浓度为</w:t>
            </w:r>
            <w:r>
              <w:rPr>
                <w:rFonts w:hint="eastAsia"/>
                <w:sz w:val="24"/>
                <w:szCs w:val="24"/>
                <w:lang w:val="en-US" w:eastAsia="zh-CN"/>
              </w:rPr>
              <w:t>0.6</w:t>
            </w:r>
            <w:r>
              <w:rPr>
                <w:rFonts w:hint="eastAsia"/>
                <w:sz w:val="24"/>
                <w:szCs w:val="24"/>
              </w:rPr>
              <w:t>mg/m</w:t>
            </w:r>
            <w:r>
              <w:rPr>
                <w:rFonts w:hint="eastAsia"/>
                <w:sz w:val="24"/>
                <w:szCs w:val="24"/>
                <w:vertAlign w:val="superscript"/>
              </w:rPr>
              <w:t>3</w:t>
            </w:r>
            <w:r>
              <w:rPr>
                <w:rFonts w:hint="eastAsia"/>
                <w:sz w:val="24"/>
                <w:szCs w:val="24"/>
              </w:rPr>
              <w:t>，排放速率为0.</w:t>
            </w:r>
            <w:r>
              <w:rPr>
                <w:rFonts w:hint="eastAsia"/>
                <w:sz w:val="24"/>
                <w:szCs w:val="24"/>
                <w:lang w:val="en-US" w:eastAsia="zh-CN"/>
              </w:rPr>
              <w:t>003</w:t>
            </w:r>
            <w:r>
              <w:rPr>
                <w:rFonts w:hint="eastAsia"/>
                <w:sz w:val="24"/>
                <w:szCs w:val="24"/>
              </w:rPr>
              <w:t>kg/h，排放量为0.0</w:t>
            </w:r>
            <w:r>
              <w:rPr>
                <w:rFonts w:hint="eastAsia"/>
                <w:sz w:val="24"/>
                <w:szCs w:val="24"/>
                <w:lang w:val="en-US" w:eastAsia="zh-CN"/>
              </w:rPr>
              <w:t>083</w:t>
            </w:r>
            <w:r>
              <w:rPr>
                <w:rFonts w:hint="eastAsia"/>
                <w:sz w:val="24"/>
                <w:szCs w:val="24"/>
              </w:rPr>
              <w:t>t/a。颗粒物排放浓度和排放速率可以满足《大气污染物综合排放标准》（GB16297-1996）表2标准要求。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rPr>
            </w:pPr>
            <w:r>
              <w:rPr>
                <w:rFonts w:hint="eastAsia"/>
                <w:sz w:val="24"/>
                <w:szCs w:val="24"/>
              </w:rPr>
              <w:t>未能收集的粉尘（0.</w:t>
            </w:r>
            <w:r>
              <w:rPr>
                <w:rFonts w:hint="eastAsia"/>
                <w:sz w:val="24"/>
                <w:szCs w:val="24"/>
                <w:lang w:val="en-US" w:eastAsia="zh-CN"/>
              </w:rPr>
              <w:t>008</w:t>
            </w:r>
            <w:r>
              <w:rPr>
                <w:rFonts w:hint="eastAsia"/>
                <w:sz w:val="24"/>
                <w:szCs w:val="24"/>
              </w:rPr>
              <w:t>t/a）经</w:t>
            </w:r>
            <w:r>
              <w:rPr>
                <w:rFonts w:hint="eastAsia"/>
                <w:sz w:val="24"/>
                <w:szCs w:val="24"/>
                <w:lang w:eastAsia="zh-CN"/>
              </w:rPr>
              <w:t>车间内自然降尘后</w:t>
            </w:r>
            <w:r>
              <w:rPr>
                <w:rFonts w:hint="eastAsia"/>
                <w:sz w:val="24"/>
                <w:szCs w:val="24"/>
              </w:rPr>
              <w:t>无组织排放，沉降效率按</w:t>
            </w:r>
            <w:r>
              <w:rPr>
                <w:rFonts w:hint="eastAsia"/>
                <w:sz w:val="24"/>
                <w:szCs w:val="24"/>
                <w:lang w:val="en-US" w:eastAsia="zh-CN"/>
              </w:rPr>
              <w:t>5</w:t>
            </w:r>
            <w:r>
              <w:rPr>
                <w:rFonts w:hint="eastAsia"/>
                <w:sz w:val="24"/>
                <w:szCs w:val="24"/>
              </w:rPr>
              <w:t>0%计，则无组织粉尘排放速率为0.0</w:t>
            </w:r>
            <w:r>
              <w:rPr>
                <w:rFonts w:hint="eastAsia"/>
                <w:sz w:val="24"/>
                <w:szCs w:val="24"/>
                <w:lang w:val="en-US" w:eastAsia="zh-CN"/>
              </w:rPr>
              <w:t>029</w:t>
            </w:r>
            <w:r>
              <w:rPr>
                <w:rFonts w:hint="eastAsia"/>
                <w:sz w:val="24"/>
                <w:szCs w:val="24"/>
              </w:rPr>
              <w:t>kg/h，排放量为0.</w:t>
            </w:r>
            <w:r>
              <w:rPr>
                <w:rFonts w:hint="eastAsia"/>
                <w:sz w:val="24"/>
                <w:szCs w:val="24"/>
                <w:lang w:val="en-US" w:eastAsia="zh-CN"/>
              </w:rPr>
              <w:t>004</w:t>
            </w:r>
            <w:r>
              <w:rPr>
                <w:rFonts w:hint="eastAsia"/>
                <w:sz w:val="24"/>
                <w:szCs w:val="24"/>
              </w:rPr>
              <w:t>t/a。</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b/>
                <w:bCs/>
                <w:sz w:val="24"/>
                <w:szCs w:val="24"/>
                <w:lang w:val="en-US" w:eastAsia="zh-CN"/>
              </w:rPr>
            </w:pPr>
            <w:r>
              <w:rPr>
                <w:rFonts w:hint="eastAsia"/>
                <w:b/>
                <w:bCs/>
                <w:sz w:val="24"/>
                <w:szCs w:val="24"/>
              </w:rPr>
              <w:t>袋式除尘器工作原理</w:t>
            </w:r>
            <w:r>
              <w:rPr>
                <w:rFonts w:hint="eastAsia"/>
                <w:b/>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sz w:val="24"/>
                <w:szCs w:val="24"/>
              </w:rPr>
              <w:t>含尘气体由灰斗上部进风口进入后，在挡风板的作用下，气流风板向上流动，流速降低，部分大颗粒粉尘由于惯性力的作用被分离出来落入灰斗。含尘气体进入中箱体经滤袋的过滤，粉尘被阻留在滤袋的外表面，净化后的气体经滤袋口进入上箱体，由出风口排除。随着滤袋表面粉尘不断增加，除尘器进出口压差也随之上升。当除尘器阻力达到设定值时，控制系统发出清灰指令，清灰系统开始工作。首先电磁阀接到信号后立即开启，使小膜片上部气室的压缩空气被排除，由于小膜片两端受力的改变，是被小膜片关闭的排气通道开启，大膜片上部气室的压缩空气由此通道排除，打磨片两端受力改变，使大膜片动作讲关闭输出口打开，气包内压缩空气经输出管和喷吹管入袋口，实现清灰。当控制信号停止后，电磁阀关闭，小膜片、大膜片相继复位，喷吹停止。</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rPr>
            </w:pPr>
            <w:r>
              <w:rPr>
                <w:rFonts w:hint="eastAsia"/>
                <w:sz w:val="24"/>
                <w:szCs w:val="24"/>
              </w:rPr>
              <w:t>采用该处理工艺的合理性、有效性分析：</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a.</w:t>
            </w:r>
            <w:r>
              <w:rPr>
                <w:sz w:val="24"/>
                <w:szCs w:val="24"/>
              </w:rPr>
              <w:t>启闭迅速，自身阻力小，对于6米～8米长的滤袋，喷吹压力仅0.15～0.3MPa ，就能获得良好的清灰效果。</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b.清灰能力强、清灰均匀，效果好。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rPr>
            </w:pPr>
            <w:r>
              <w:rPr>
                <w:rFonts w:hint="eastAsia"/>
                <w:sz w:val="24"/>
                <w:szCs w:val="24"/>
              </w:rPr>
              <w:t>c.</w:t>
            </w:r>
            <w:r>
              <w:rPr>
                <w:sz w:val="24"/>
                <w:szCs w:val="24"/>
              </w:rPr>
              <w:t>过滤负荷高，因有强力清灰的保障，即使除尘器在较高的过滤风速下运行，其阻力也不会过高，一般为1200～1500Pa</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d.</w:t>
            </w:r>
            <w:r>
              <w:rPr>
                <w:sz w:val="24"/>
                <w:szCs w:val="24"/>
              </w:rPr>
              <w:t>检查和更换滤袋方便。滤袋的安装和换袋方便，无需绑扎。操作人员无需进入箱体内部，操作环境好。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e.</w:t>
            </w:r>
            <w:r>
              <w:rPr>
                <w:sz w:val="24"/>
                <w:szCs w:val="24"/>
              </w:rPr>
              <w:t>设备造价低。由于过滤负荷高，设备紧凑，占地面积小。</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综上，本项目采用袋式除尘器可以满足颗粒物处理需求。</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sz w:val="24"/>
                <w:szCs w:val="24"/>
                <w:u w:val="single"/>
              </w:rPr>
            </w:pPr>
            <w:r>
              <w:rPr>
                <w:rFonts w:hint="eastAsia"/>
                <w:b/>
                <w:bCs/>
                <w:sz w:val="24"/>
                <w:szCs w:val="24"/>
                <w:u w:val="single"/>
                <w:lang w:val="en-US" w:eastAsia="zh-CN"/>
              </w:rPr>
              <w:t>3、拆解</w:t>
            </w:r>
            <w:r>
              <w:rPr>
                <w:rFonts w:hint="eastAsia"/>
                <w:b/>
                <w:bCs/>
                <w:sz w:val="24"/>
                <w:szCs w:val="24"/>
                <w:u w:val="single"/>
              </w:rPr>
              <w:t>预处理废气</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u w:val="single"/>
              </w:rPr>
            </w:pPr>
            <w:r>
              <w:rPr>
                <w:rFonts w:hint="eastAsia"/>
                <w:sz w:val="24"/>
                <w:szCs w:val="24"/>
                <w:u w:val="single"/>
              </w:rPr>
              <w:t>项目报废农机在入厂后，首先对农机进行检查，对出现泄漏的总成部件，收集泄漏的液体或封住泄漏处，故泄漏的废油液量很少。本项目采用集中抽油机和移动钻孔抽油机对报废农机内的废油液封闭式抽取，再利用真空抽油机对车内残余的油液或变速箱内的残余机油抽取出来，因此在报废农机内及卸油、收集过程中非甲烷总烃的挥发量较少。油液抽取后在密闭容器内封存，可能产生的非甲烷总烃废气的环节主要为排空油液的过程中油液的挥发过程。参照《散装液态石油产品损耗》（GB11085-89）中灌桶（0.18%）和零售加注时（0.29%）的两部分的损失率，本次按照0.235%计，本项目废油液的排空量约为55t/a，则废油液挥发产生的挥发性有机物（以非甲烷总烃计）约为0.13t/a（0.046kg/h）。预处理工序结束后，排出油液使用废机油容器装存，暂存于危险废物暂存间，定期交有资质单位处理。</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u w:val="single"/>
              </w:rPr>
            </w:pPr>
            <w:r>
              <w:rPr>
                <w:rFonts w:hint="eastAsia"/>
                <w:sz w:val="24"/>
                <w:szCs w:val="24"/>
                <w:u w:val="single"/>
              </w:rPr>
              <w:t>本项目拟将预处理作业设置于固定区域内进行，</w:t>
            </w:r>
            <w:r>
              <w:rPr>
                <w:rFonts w:hint="eastAsia"/>
                <w:sz w:val="24"/>
                <w:szCs w:val="24"/>
                <w:u w:val="single"/>
                <w:lang w:eastAsia="zh-CN"/>
              </w:rPr>
              <w:t>在</w:t>
            </w:r>
            <w:r>
              <w:rPr>
                <w:rFonts w:hint="eastAsia"/>
                <w:sz w:val="24"/>
                <w:szCs w:val="24"/>
                <w:u w:val="single"/>
              </w:rPr>
              <w:t>操作区域上方设置集气罩，非甲烷总烃经集气罩收集后，</w:t>
            </w:r>
            <w:r>
              <w:rPr>
                <w:rFonts w:hint="eastAsia"/>
                <w:sz w:val="24"/>
                <w:szCs w:val="24"/>
                <w:u w:val="single"/>
                <w:lang w:eastAsia="zh-CN"/>
              </w:rPr>
              <w:t>通过</w:t>
            </w:r>
            <w:r>
              <w:rPr>
                <w:rFonts w:hint="eastAsia"/>
                <w:sz w:val="24"/>
                <w:szCs w:val="24"/>
                <w:u w:val="single"/>
              </w:rPr>
              <w:t>活性炭吸附装置进行处理，处理后通过15m高排气筒排放。集气罩收集效率按90%计，活性炭吸附效率按70%计，则本项目非甲烷总烃有组织排放量为0.039t/a，排放速率为0.0139kg/h。排气筒风机风量按5000m</w:t>
            </w:r>
            <w:r>
              <w:rPr>
                <w:rFonts w:hint="eastAsia"/>
                <w:sz w:val="24"/>
                <w:szCs w:val="24"/>
                <w:u w:val="single"/>
                <w:vertAlign w:val="superscript"/>
              </w:rPr>
              <w:t>3</w:t>
            </w:r>
            <w:r>
              <w:rPr>
                <w:rFonts w:hint="eastAsia"/>
                <w:sz w:val="24"/>
                <w:szCs w:val="24"/>
                <w:u w:val="single"/>
              </w:rPr>
              <w:t>/h计，则有组织非甲烷总烃排放浓度为0.92mg/m³。未能收集的非甲烷总烃以无组织形式排放，排放量为0.013t/a，排放速率为0.0046kg/h。</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u w:val="single"/>
              </w:rPr>
            </w:pPr>
            <w:r>
              <w:rPr>
                <w:rFonts w:hint="eastAsia"/>
                <w:sz w:val="24"/>
                <w:szCs w:val="24"/>
                <w:u w:val="single"/>
              </w:rPr>
              <w:t>根据上述计算结果，本项目有组织非甲烷总烃排放浓度可以满足《大气污染物综合排放标准》（GB16297-1996）中表2标准要求（120mg/m³）；非甲烷总烃以及粉尘无组织排放量较小，排放速率和排放浓度较低，厂界处无组织排放浓度可以满足《大气污染物综合排放标准》（GB16297-1996）中表2标准要求；厂内非甲烷总烃浓度可以满足《挥发性有机物无组织排放控制标准》（GB37822-2019）表A.1排放限值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textAlignment w:val="auto"/>
              <w:rPr>
                <w:rFonts w:hint="eastAsia" w:ascii="宋体" w:hAnsi="宋体" w:cs="宋体"/>
                <w:b/>
                <w:bCs/>
                <w:sz w:val="24"/>
                <w:szCs w:val="24"/>
                <w:u w:val="single"/>
              </w:rPr>
            </w:pPr>
            <w:r>
              <w:rPr>
                <w:rFonts w:hint="eastAsia"/>
                <w:b/>
                <w:bCs/>
                <w:sz w:val="24"/>
                <w:szCs w:val="24"/>
                <w:u w:val="single"/>
                <w:lang w:val="en-US" w:eastAsia="zh-CN"/>
              </w:rPr>
              <w:t>4、</w:t>
            </w:r>
            <w:r>
              <w:rPr>
                <w:rFonts w:hint="eastAsia" w:ascii="宋体" w:hAnsi="宋体" w:cs="宋体"/>
                <w:b/>
                <w:bCs/>
                <w:sz w:val="24"/>
                <w:szCs w:val="24"/>
                <w:u w:val="single"/>
              </w:rPr>
              <w:t>危险废物暂存间废气</w:t>
            </w:r>
          </w:p>
          <w:p>
            <w:pPr>
              <w:keepNext w:val="0"/>
              <w:keepLines w:val="0"/>
              <w:pageBreakBefore w:val="0"/>
              <w:widowControl w:val="0"/>
              <w:kinsoku/>
              <w:wordWrap/>
              <w:overflowPunct/>
              <w:topLinePunct w:val="0"/>
              <w:autoSpaceDE/>
              <w:autoSpaceDN/>
              <w:bidi w:val="0"/>
              <w:adjustRightInd w:val="0"/>
              <w:snapToGrid w:val="0"/>
              <w:spacing w:line="460" w:lineRule="exact"/>
              <w:ind w:firstLine="480"/>
              <w:textAlignment w:val="auto"/>
              <w:rPr>
                <w:rFonts w:hint="eastAsia" w:ascii="宋体" w:hAnsi="宋体" w:cs="宋体"/>
                <w:bCs/>
                <w:sz w:val="24"/>
                <w:szCs w:val="24"/>
                <w:u w:val="single"/>
              </w:rPr>
            </w:pPr>
            <w:r>
              <w:rPr>
                <w:rFonts w:hint="eastAsia" w:ascii="宋体" w:hAnsi="宋体" w:cs="宋体"/>
                <w:bCs/>
                <w:sz w:val="24"/>
                <w:szCs w:val="24"/>
                <w:u w:val="single"/>
              </w:rPr>
              <w:t>本项目危险废物暂存间的贮存物主要为报废农机拆解产生的危险废物，其中废燃油、废机油、废清洗液等危险废物正常情况下均采用密封容器存储，基本不会产生挥发性有机</w:t>
            </w:r>
            <w:r>
              <w:rPr>
                <w:rFonts w:hint="eastAsia" w:ascii="宋体" w:hAnsi="宋体" w:cs="宋体"/>
                <w:bCs/>
                <w:sz w:val="24"/>
                <w:szCs w:val="24"/>
                <w:u w:val="single"/>
                <w:lang w:eastAsia="zh-CN"/>
              </w:rPr>
              <w:t>废气</w:t>
            </w:r>
            <w:r>
              <w:rPr>
                <w:rFonts w:hint="eastAsia" w:ascii="宋体" w:hAnsi="宋体" w:cs="宋体"/>
                <w:bCs/>
                <w:sz w:val="24"/>
                <w:szCs w:val="24"/>
                <w:u w:val="single"/>
              </w:rPr>
              <w:t>。在事故状态下，可能发生油液泄漏，产生挥发性有机物气体逸散，造成大气环境影响。本项目危废间</w:t>
            </w:r>
            <w:r>
              <w:rPr>
                <w:rFonts w:hint="eastAsia" w:ascii="宋体" w:hAnsi="宋体" w:cs="宋体"/>
                <w:bCs/>
                <w:sz w:val="24"/>
                <w:szCs w:val="24"/>
                <w:u w:val="single"/>
                <w:lang w:val="en-US" w:eastAsia="zh-CN"/>
              </w:rPr>
              <w:t>拆解预处理工序</w:t>
            </w:r>
            <w:r>
              <w:rPr>
                <w:rFonts w:hint="eastAsia" w:ascii="宋体" w:hAnsi="宋体" w:cs="宋体"/>
                <w:bCs/>
                <w:sz w:val="24"/>
                <w:szCs w:val="24"/>
                <w:u w:val="single"/>
              </w:rPr>
              <w:t>废油液最大存储量为</w:t>
            </w:r>
            <w:r>
              <w:rPr>
                <w:rFonts w:hint="eastAsia" w:ascii="宋体" w:hAnsi="宋体" w:cs="宋体"/>
                <w:bCs/>
                <w:sz w:val="24"/>
                <w:szCs w:val="24"/>
                <w:u w:val="single"/>
                <w:lang w:val="en-US" w:eastAsia="zh-CN"/>
              </w:rPr>
              <w:t>1</w:t>
            </w:r>
            <w:r>
              <w:rPr>
                <w:rFonts w:hint="eastAsia" w:ascii="宋体" w:hAnsi="宋体" w:cs="宋体"/>
                <w:bCs/>
                <w:sz w:val="24"/>
                <w:szCs w:val="24"/>
                <w:u w:val="single"/>
              </w:rPr>
              <w:t>t，假设事故状态持续时间为2h，则危废间非甲烷总烃产生量为0.001t/次。</w:t>
            </w:r>
          </w:p>
          <w:p>
            <w:pPr>
              <w:keepNext w:val="0"/>
              <w:keepLines w:val="0"/>
              <w:pageBreakBefore w:val="0"/>
              <w:kinsoku/>
              <w:wordWrap/>
              <w:overflowPunct/>
              <w:topLinePunct w:val="0"/>
              <w:autoSpaceDE/>
              <w:autoSpaceDN/>
              <w:bidi w:val="0"/>
              <w:adjustRightInd w:val="0"/>
              <w:snapToGrid w:val="0"/>
              <w:spacing w:line="460" w:lineRule="exact"/>
              <w:ind w:firstLine="480"/>
              <w:textAlignment w:val="auto"/>
              <w:rPr>
                <w:rFonts w:hint="eastAsia" w:ascii="宋体" w:hAnsi="宋体" w:cs="宋体"/>
                <w:bCs/>
                <w:sz w:val="24"/>
                <w:szCs w:val="24"/>
                <w:u w:val="single"/>
              </w:rPr>
            </w:pPr>
            <w:r>
              <w:rPr>
                <w:rFonts w:hint="eastAsia" w:ascii="宋体" w:hAnsi="宋体" w:cs="宋体"/>
                <w:bCs/>
                <w:sz w:val="24"/>
                <w:szCs w:val="24"/>
                <w:u w:val="single"/>
              </w:rPr>
              <w:t>本项目拟在危废间设置集气</w:t>
            </w:r>
            <w:r>
              <w:rPr>
                <w:rFonts w:hint="eastAsia" w:ascii="宋体" w:hAnsi="宋体" w:cs="宋体"/>
                <w:bCs/>
                <w:sz w:val="24"/>
                <w:szCs w:val="24"/>
                <w:u w:val="single"/>
                <w:lang w:eastAsia="zh-CN"/>
              </w:rPr>
              <w:t>罩</w:t>
            </w:r>
            <w:r>
              <w:rPr>
                <w:rFonts w:hint="eastAsia" w:ascii="宋体" w:hAnsi="宋体" w:cs="宋体"/>
                <w:bCs/>
                <w:sz w:val="24"/>
                <w:szCs w:val="24"/>
                <w:u w:val="single"/>
              </w:rPr>
              <w:t>，并连接至活性炭吸附处理装置，作为危废间事故状态下废气处理系统，</w:t>
            </w:r>
            <w:r>
              <w:rPr>
                <w:rFonts w:hint="eastAsia" w:ascii="宋体" w:hAnsi="宋体" w:cs="宋体"/>
                <w:bCs/>
                <w:sz w:val="24"/>
                <w:szCs w:val="24"/>
                <w:u w:val="single"/>
                <w:lang w:eastAsia="zh-CN"/>
              </w:rPr>
              <w:t>集气罩</w:t>
            </w:r>
            <w:r>
              <w:rPr>
                <w:rFonts w:hint="eastAsia" w:ascii="宋体" w:hAnsi="宋体" w:cs="宋体"/>
                <w:bCs/>
                <w:sz w:val="24"/>
                <w:szCs w:val="24"/>
                <w:u w:val="single"/>
              </w:rPr>
              <w:t>收集效率按90%，处理效率按70%计，则危废间单次非甲烷总烃有组织排放浓度为</w:t>
            </w:r>
            <w:r>
              <w:rPr>
                <w:rFonts w:hint="eastAsia" w:ascii="宋体" w:hAnsi="宋体" w:cs="宋体"/>
                <w:bCs/>
                <w:sz w:val="24"/>
                <w:szCs w:val="24"/>
                <w:u w:val="single"/>
                <w:lang w:val="en-US" w:eastAsia="zh-CN"/>
              </w:rPr>
              <w:t>1.5</w:t>
            </w:r>
            <w:r>
              <w:rPr>
                <w:rFonts w:hint="eastAsia" w:ascii="宋体" w:hAnsi="宋体" w:cs="宋体"/>
                <w:bCs/>
                <w:sz w:val="24"/>
                <w:szCs w:val="24"/>
                <w:u w:val="single"/>
              </w:rPr>
              <w:t>mg/m</w:t>
            </w:r>
            <w:r>
              <w:rPr>
                <w:rFonts w:hint="eastAsia" w:ascii="宋体" w:hAnsi="宋体" w:cs="宋体"/>
                <w:bCs/>
                <w:sz w:val="24"/>
                <w:szCs w:val="24"/>
                <w:u w:val="single"/>
                <w:vertAlign w:val="superscript"/>
              </w:rPr>
              <w:t>3</w:t>
            </w:r>
            <w:r>
              <w:rPr>
                <w:rFonts w:hint="eastAsia" w:ascii="宋体" w:hAnsi="宋体" w:cs="宋体"/>
                <w:bCs/>
                <w:sz w:val="24"/>
                <w:szCs w:val="24"/>
                <w:u w:val="single"/>
              </w:rPr>
              <w:t>，排放量为0.000</w:t>
            </w:r>
            <w:r>
              <w:rPr>
                <w:rFonts w:hint="eastAsia" w:ascii="宋体" w:hAnsi="宋体" w:cs="宋体"/>
                <w:bCs/>
                <w:sz w:val="24"/>
                <w:szCs w:val="24"/>
                <w:u w:val="single"/>
                <w:lang w:val="en-US" w:eastAsia="zh-CN"/>
              </w:rPr>
              <w:t>3</w:t>
            </w:r>
            <w:r>
              <w:rPr>
                <w:rFonts w:hint="eastAsia" w:ascii="宋体" w:hAnsi="宋体" w:cs="宋体"/>
                <w:bCs/>
                <w:sz w:val="24"/>
                <w:szCs w:val="24"/>
                <w:u w:val="single"/>
              </w:rPr>
              <w:t>t/次，污染物排放浓度可以满足</w:t>
            </w:r>
            <w:r>
              <w:rPr>
                <w:rFonts w:hint="eastAsia"/>
                <w:sz w:val="24"/>
                <w:szCs w:val="24"/>
                <w:u w:val="single"/>
              </w:rPr>
              <w:t>《大气污染物综合排放标准》（GB16297-1996）中表2标准要求（120mg/m</w:t>
            </w:r>
            <w:r>
              <w:rPr>
                <w:rFonts w:hint="eastAsia"/>
                <w:sz w:val="24"/>
                <w:szCs w:val="24"/>
                <w:u w:val="single"/>
                <w:vertAlign w:val="superscript"/>
              </w:rPr>
              <w:t>3</w:t>
            </w:r>
            <w:r>
              <w:rPr>
                <w:rFonts w:hint="eastAsia"/>
                <w:sz w:val="24"/>
                <w:szCs w:val="24"/>
                <w:u w:val="single"/>
              </w:rPr>
              <w:t>）</w:t>
            </w:r>
            <w:r>
              <w:rPr>
                <w:rFonts w:hint="eastAsia" w:ascii="宋体" w:hAnsi="宋体" w:cs="宋体"/>
                <w:bCs/>
                <w:sz w:val="24"/>
                <w:szCs w:val="24"/>
                <w:u w:val="single"/>
              </w:rPr>
              <w:t>。</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b/>
                <w:bCs/>
                <w:sz w:val="24"/>
                <w:szCs w:val="24"/>
                <w:u w:val="single"/>
              </w:rPr>
            </w:pPr>
            <w:r>
              <w:rPr>
                <w:rFonts w:hint="eastAsia"/>
                <w:b/>
                <w:bCs/>
                <w:sz w:val="24"/>
                <w:szCs w:val="24"/>
                <w:u w:val="single"/>
                <w:lang w:val="en-US" w:eastAsia="zh-CN"/>
              </w:rPr>
              <w:t>5、</w:t>
            </w:r>
            <w:r>
              <w:rPr>
                <w:rFonts w:hint="eastAsia"/>
                <w:b/>
                <w:bCs/>
                <w:sz w:val="24"/>
                <w:szCs w:val="24"/>
                <w:u w:val="single"/>
              </w:rPr>
              <w:t>废机油储油罐的呼吸排放</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sz w:val="24"/>
                <w:szCs w:val="24"/>
                <w:u w:val="single"/>
              </w:rPr>
            </w:pPr>
            <w:r>
              <w:rPr>
                <w:rFonts w:hint="eastAsia"/>
                <w:sz w:val="24"/>
                <w:szCs w:val="24"/>
                <w:u w:val="single"/>
              </w:rPr>
              <w:t xml:space="preserve">本项目废机油贮存的主要废气污染物为非甲烷总烃，有多个废气产生环节，和其中最主要的环节有三个，即收油罐车内废油进入厂区内储罐环节、厂区内储保罐储油环节、以及厂区储罐内废油出罐，进入转运罐车环节，其中储罐储油环护节属于“小呼吸”，其他两个环节属于“大呼吸”。 </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sz w:val="24"/>
                <w:szCs w:val="24"/>
                <w:u w:val="single"/>
              </w:rPr>
            </w:pPr>
            <w:r>
              <w:rPr>
                <w:rFonts w:hint="eastAsia"/>
                <w:sz w:val="24"/>
                <w:szCs w:val="24"/>
                <w:u w:val="single"/>
              </w:rPr>
              <w:t xml:space="preserve">非甲烷总烃主要来自于储罐的大小呼吸；大呼吸是指油罐进发油时的呼吸，油罐进油时，由于油面逐渐升高，气体空间逐渐减小，罐内压力增大，当压力超过呼吸阀控制压力时，一定浓度的油蒸汽开始从呼吸阀呼出，直到油罐停止收油，所呼出的油蒸汽造成油品蒸发的损失。油罐向外发油时，由于油面不断降低，气体空间逐渐增大，罐内压力减小，当压力小于呼吸阀控制真空度时，油罐开始吸入新鲜空气，由于油面上方空间油气没有达到饱和，促使油品蒸发加速，使其重新达到饱和，罐内压力再次上升，造成部分油蒸汽从呼吸阀呼出；小呼吸是指油罐在没有收发油作业的情况下，随着外界气温、压力在一天内的升降周期变化，罐内气体空间温度、油品蒸发速度、油气浓度和蒸汽压力也随着变化。 </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u w:val="single"/>
              </w:rPr>
            </w:pPr>
            <w:r>
              <w:rPr>
                <w:rFonts w:hint="eastAsia"/>
                <w:sz w:val="24"/>
                <w:szCs w:val="24"/>
                <w:u w:val="single"/>
              </w:rPr>
              <w:t>本项目废机油储罐采用密闭油桶 ，参考 《石油库节能设计导则》（</w:t>
            </w:r>
            <w:r>
              <w:rPr>
                <w:sz w:val="24"/>
                <w:szCs w:val="24"/>
                <w:u w:val="single"/>
              </w:rPr>
              <w:t>SH/T3002-2000</w:t>
            </w:r>
            <w:r>
              <w:rPr>
                <w:rFonts w:hint="eastAsia"/>
                <w:sz w:val="24"/>
                <w:szCs w:val="24"/>
                <w:u w:val="single"/>
              </w:rPr>
              <w:t>）中拱顶罐大小呼吸计算公式计算，顶罐大呼吸挥发排放量计算方法：</w:t>
            </w:r>
          </w:p>
          <w:p>
            <w:pPr>
              <w:widowControl/>
              <w:spacing w:line="360" w:lineRule="auto"/>
              <w:ind w:firstLine="420" w:firstLineChars="200"/>
              <w:jc w:val="center"/>
              <w:rPr>
                <w:u w:val="single"/>
              </w:rPr>
            </w:pPr>
            <w:r>
              <w:rPr>
                <w:u w:val="single"/>
              </w:rPr>
              <w:drawing>
                <wp:inline distT="0" distB="0" distL="114300" distR="114300">
                  <wp:extent cx="2961640" cy="1682115"/>
                  <wp:effectExtent l="0" t="0" r="10160" b="6985"/>
                  <wp:docPr id="2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6"/>
                          <pic:cNvPicPr>
                            <a:picLocks noChangeAspect="1"/>
                          </pic:cNvPicPr>
                        </pic:nvPicPr>
                        <pic:blipFill>
                          <a:blip r:embed="rId17"/>
                          <a:stretch>
                            <a:fillRect/>
                          </a:stretch>
                        </pic:blipFill>
                        <pic:spPr>
                          <a:xfrm>
                            <a:off x="0" y="0"/>
                            <a:ext cx="2961640" cy="1682115"/>
                          </a:xfrm>
                          <a:prstGeom prst="rect">
                            <a:avLst/>
                          </a:prstGeom>
                          <a:noFill/>
                          <a:ln w="9525">
                            <a:noFill/>
                          </a:ln>
                        </pic:spPr>
                      </pic:pic>
                    </a:graphicData>
                  </a:graphic>
                </wp:inline>
              </w:drawing>
            </w:r>
          </w:p>
          <w:p>
            <w:pPr>
              <w:widowControl/>
              <w:spacing w:line="360" w:lineRule="auto"/>
              <w:ind w:firstLine="720" w:firstLineChars="300"/>
              <w:jc w:val="left"/>
              <w:rPr>
                <w:sz w:val="24"/>
                <w:szCs w:val="24"/>
                <w:u w:val="single"/>
              </w:rPr>
            </w:pPr>
            <w:r>
              <w:rPr>
                <w:rFonts w:hint="eastAsia"/>
                <w:sz w:val="24"/>
                <w:szCs w:val="24"/>
                <w:u w:val="single"/>
              </w:rPr>
              <w:t xml:space="preserve">式中： </w:t>
            </w:r>
            <w:r>
              <w:rPr>
                <w:sz w:val="24"/>
                <w:szCs w:val="24"/>
                <w:u w:val="single"/>
              </w:rPr>
              <w:t>LDW—</w:t>
            </w:r>
            <w:r>
              <w:rPr>
                <w:rFonts w:hint="eastAsia"/>
                <w:sz w:val="24"/>
                <w:szCs w:val="24"/>
                <w:u w:val="single"/>
              </w:rPr>
              <w:t>拱顶罐年大呼吸蒸发损耗量</w:t>
            </w:r>
            <w:r>
              <w:rPr>
                <w:sz w:val="24"/>
                <w:szCs w:val="24"/>
                <w:u w:val="single"/>
              </w:rPr>
              <w:t>(m</w:t>
            </w:r>
            <w:r>
              <w:rPr>
                <w:rFonts w:hint="eastAsia"/>
                <w:sz w:val="24"/>
                <w:szCs w:val="24"/>
                <w:u w:val="single"/>
                <w:vertAlign w:val="superscript"/>
              </w:rPr>
              <w:t>3</w:t>
            </w:r>
            <w:r>
              <w:rPr>
                <w:sz w:val="24"/>
                <w:szCs w:val="24"/>
                <w:u w:val="single"/>
                <w:vertAlign w:val="superscript"/>
              </w:rPr>
              <w:t xml:space="preserve"> </w:t>
            </w:r>
            <w:r>
              <w:rPr>
                <w:sz w:val="24"/>
                <w:szCs w:val="24"/>
                <w:u w:val="single"/>
              </w:rPr>
              <w:t>/a)</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V1—</w:t>
            </w:r>
            <w:r>
              <w:rPr>
                <w:rFonts w:hint="eastAsia"/>
                <w:sz w:val="24"/>
                <w:szCs w:val="24"/>
                <w:u w:val="single"/>
              </w:rPr>
              <w:t>泵送液体入罐量</w:t>
            </w:r>
            <w:r>
              <w:rPr>
                <w:sz w:val="24"/>
                <w:szCs w:val="24"/>
                <w:u w:val="single"/>
              </w:rPr>
              <w:t>(m</w:t>
            </w:r>
            <w:r>
              <w:rPr>
                <w:rFonts w:hint="eastAsia"/>
                <w:sz w:val="24"/>
                <w:szCs w:val="24"/>
                <w:u w:val="single"/>
                <w:vertAlign w:val="superscript"/>
              </w:rPr>
              <w:t>3</w:t>
            </w:r>
            <w:r>
              <w:rPr>
                <w:sz w:val="24"/>
                <w:szCs w:val="24"/>
                <w:u w:val="single"/>
              </w:rPr>
              <w:t xml:space="preserve"> )</w:t>
            </w:r>
            <w:r>
              <w:rPr>
                <w:rFonts w:hint="eastAsia"/>
                <w:sz w:val="24"/>
                <w:szCs w:val="24"/>
                <w:u w:val="single"/>
              </w:rPr>
              <w:t>，本项目为 10</w:t>
            </w:r>
            <w:r>
              <w:rPr>
                <w:sz w:val="24"/>
                <w:szCs w:val="24"/>
                <w:u w:val="single"/>
              </w:rPr>
              <w:t>m</w:t>
            </w:r>
            <w:r>
              <w:rPr>
                <w:rFonts w:hint="eastAsia"/>
                <w:sz w:val="24"/>
                <w:szCs w:val="24"/>
                <w:u w:val="single"/>
                <w:vertAlign w:val="superscript"/>
              </w:rPr>
              <w:t>3</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N—</w:t>
            </w:r>
            <w:r>
              <w:rPr>
                <w:rFonts w:hint="eastAsia"/>
                <w:sz w:val="24"/>
                <w:szCs w:val="24"/>
                <w:u w:val="single"/>
              </w:rPr>
              <w:t>油罐年周转次数，本项目年周转次</w:t>
            </w:r>
            <w:r>
              <w:rPr>
                <w:sz w:val="24"/>
                <w:szCs w:val="24"/>
                <w:u w:val="single"/>
              </w:rPr>
              <w:t>50</w:t>
            </w:r>
            <w:r>
              <w:rPr>
                <w:rFonts w:hint="eastAsia"/>
                <w:sz w:val="24"/>
                <w:szCs w:val="24"/>
                <w:u w:val="single"/>
              </w:rPr>
              <w:t xml:space="preserve">次； </w:t>
            </w:r>
          </w:p>
          <w:p>
            <w:pPr>
              <w:widowControl/>
              <w:spacing w:line="360" w:lineRule="auto"/>
              <w:ind w:firstLine="1680" w:firstLineChars="700"/>
              <w:jc w:val="left"/>
              <w:rPr>
                <w:sz w:val="24"/>
                <w:szCs w:val="24"/>
                <w:u w:val="single"/>
              </w:rPr>
            </w:pPr>
            <w:r>
              <w:rPr>
                <w:sz w:val="24"/>
                <w:szCs w:val="24"/>
                <w:u w:val="single"/>
              </w:rPr>
              <w:t>Q—</w:t>
            </w:r>
            <w:r>
              <w:rPr>
                <w:rFonts w:hint="eastAsia"/>
                <w:sz w:val="24"/>
                <w:szCs w:val="24"/>
                <w:u w:val="single"/>
              </w:rPr>
              <w:t>油罐年周转量</w:t>
            </w:r>
            <w:r>
              <w:rPr>
                <w:sz w:val="24"/>
                <w:szCs w:val="24"/>
                <w:u w:val="single"/>
              </w:rPr>
              <w:t>(m</w:t>
            </w:r>
            <w:r>
              <w:rPr>
                <w:rFonts w:hint="eastAsia"/>
                <w:sz w:val="24"/>
                <w:szCs w:val="24"/>
                <w:u w:val="single"/>
                <w:vertAlign w:val="superscript"/>
              </w:rPr>
              <w:t>3</w:t>
            </w:r>
            <w:r>
              <w:rPr>
                <w:sz w:val="24"/>
                <w:szCs w:val="24"/>
                <w:u w:val="single"/>
              </w:rPr>
              <w:t xml:space="preserve"> /a)</w:t>
            </w:r>
            <w:r>
              <w:rPr>
                <w:rFonts w:hint="eastAsia"/>
                <w:sz w:val="24"/>
                <w:szCs w:val="24"/>
                <w:u w:val="single"/>
              </w:rPr>
              <w:t>，本项目年周转5</w:t>
            </w:r>
            <w:r>
              <w:rPr>
                <w:sz w:val="24"/>
                <w:szCs w:val="24"/>
                <w:u w:val="single"/>
              </w:rPr>
              <w:t>00m</w:t>
            </w:r>
            <w:r>
              <w:rPr>
                <w:rFonts w:hint="eastAsia"/>
                <w:sz w:val="24"/>
                <w:szCs w:val="24"/>
                <w:u w:val="single"/>
                <w:vertAlign w:val="superscript"/>
              </w:rPr>
              <w:t>3</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V—</w:t>
            </w:r>
            <w:r>
              <w:rPr>
                <w:rFonts w:hint="eastAsia"/>
                <w:sz w:val="24"/>
                <w:szCs w:val="24"/>
                <w:u w:val="single"/>
              </w:rPr>
              <w:t>油罐容积</w:t>
            </w:r>
            <w:r>
              <w:rPr>
                <w:sz w:val="24"/>
                <w:szCs w:val="24"/>
                <w:u w:val="single"/>
              </w:rPr>
              <w:t>(m</w:t>
            </w:r>
            <w:r>
              <w:rPr>
                <w:rFonts w:hint="eastAsia"/>
                <w:sz w:val="24"/>
                <w:szCs w:val="24"/>
                <w:u w:val="single"/>
                <w:vertAlign w:val="superscript"/>
              </w:rPr>
              <w:t>3</w:t>
            </w:r>
            <w:r>
              <w:rPr>
                <w:sz w:val="24"/>
                <w:szCs w:val="24"/>
                <w:u w:val="single"/>
              </w:rPr>
              <w:t xml:space="preserve"> )</w:t>
            </w:r>
            <w:r>
              <w:rPr>
                <w:rFonts w:hint="eastAsia"/>
                <w:sz w:val="24"/>
                <w:szCs w:val="24"/>
                <w:u w:val="single"/>
              </w:rPr>
              <w:t>，本项目储罐容积 12</w:t>
            </w:r>
            <w:r>
              <w:rPr>
                <w:sz w:val="24"/>
                <w:szCs w:val="24"/>
                <w:u w:val="single"/>
              </w:rPr>
              <w:t>m</w:t>
            </w:r>
            <w:r>
              <w:rPr>
                <w:rFonts w:hint="eastAsia"/>
                <w:sz w:val="24"/>
                <w:szCs w:val="24"/>
                <w:u w:val="single"/>
                <w:vertAlign w:val="superscript"/>
              </w:rPr>
              <w:t>3</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K—</w:t>
            </w:r>
            <w:r>
              <w:rPr>
                <w:rFonts w:hint="eastAsia"/>
                <w:sz w:val="24"/>
                <w:szCs w:val="24"/>
                <w:u w:val="single"/>
              </w:rPr>
              <w:t>单位换算常数，</w:t>
            </w:r>
            <w:r>
              <w:rPr>
                <w:sz w:val="24"/>
                <w:szCs w:val="24"/>
                <w:u w:val="single"/>
              </w:rPr>
              <w:t>K=51.6</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KT—</w:t>
            </w:r>
            <w:r>
              <w:rPr>
                <w:rFonts w:hint="eastAsia"/>
                <w:sz w:val="24"/>
                <w:szCs w:val="24"/>
                <w:u w:val="single"/>
              </w:rPr>
              <w:t xml:space="preserve">周转系数，本项目取值 </w:t>
            </w:r>
            <w:r>
              <w:rPr>
                <w:sz w:val="24"/>
                <w:szCs w:val="24"/>
                <w:u w:val="single"/>
              </w:rPr>
              <w:t>1</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K1—</w:t>
            </w:r>
            <w:r>
              <w:rPr>
                <w:rFonts w:hint="eastAsia"/>
                <w:sz w:val="24"/>
                <w:szCs w:val="24"/>
                <w:u w:val="single"/>
              </w:rPr>
              <w:t xml:space="preserve">油品系数，汽油 </w:t>
            </w:r>
            <w:r>
              <w:rPr>
                <w:sz w:val="24"/>
                <w:szCs w:val="24"/>
                <w:u w:val="single"/>
              </w:rPr>
              <w:t>K1=1</w:t>
            </w:r>
            <w:r>
              <w:rPr>
                <w:rFonts w:hint="eastAsia"/>
                <w:sz w:val="24"/>
                <w:szCs w:val="24"/>
                <w:u w:val="single"/>
              </w:rPr>
              <w:t xml:space="preserve">，原油 </w:t>
            </w:r>
            <w:r>
              <w:rPr>
                <w:sz w:val="24"/>
                <w:szCs w:val="24"/>
                <w:u w:val="single"/>
              </w:rPr>
              <w:t>K1=0.75</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Py—</w:t>
            </w:r>
            <w:r>
              <w:rPr>
                <w:rFonts w:hint="eastAsia"/>
                <w:sz w:val="24"/>
                <w:szCs w:val="24"/>
                <w:u w:val="single"/>
              </w:rPr>
              <w:t>油品平均温度下的蒸汽压</w:t>
            </w:r>
            <w:r>
              <w:rPr>
                <w:sz w:val="24"/>
                <w:szCs w:val="24"/>
                <w:u w:val="single"/>
              </w:rPr>
              <w:t>(kPa)</w:t>
            </w:r>
            <w:r>
              <w:rPr>
                <w:rFonts w:hint="eastAsia"/>
                <w:sz w:val="24"/>
                <w:szCs w:val="24"/>
                <w:u w:val="single"/>
              </w:rPr>
              <w:t xml:space="preserve">，本次取值 </w:t>
            </w:r>
            <w:r>
              <w:rPr>
                <w:sz w:val="24"/>
                <w:szCs w:val="24"/>
                <w:u w:val="single"/>
              </w:rPr>
              <w:t>101</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Py1—</w:t>
            </w:r>
            <w:r>
              <w:rPr>
                <w:rFonts w:hint="eastAsia"/>
                <w:sz w:val="24"/>
                <w:szCs w:val="24"/>
                <w:u w:val="single"/>
              </w:rPr>
              <w:t>油罐内液面最低温度所对应的蒸汽压</w:t>
            </w:r>
            <w:r>
              <w:rPr>
                <w:sz w:val="24"/>
                <w:szCs w:val="24"/>
                <w:u w:val="single"/>
              </w:rPr>
              <w:t>(kPa)</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Py2—</w:t>
            </w:r>
            <w:r>
              <w:rPr>
                <w:rFonts w:hint="eastAsia"/>
                <w:sz w:val="24"/>
                <w:szCs w:val="24"/>
                <w:u w:val="single"/>
              </w:rPr>
              <w:t>油罐内液面最高温度所对应的蒸汽压</w:t>
            </w:r>
            <w:r>
              <w:rPr>
                <w:sz w:val="24"/>
                <w:szCs w:val="24"/>
                <w:u w:val="single"/>
              </w:rPr>
              <w:t>(kPa)</w:t>
            </w:r>
            <w:r>
              <w:rPr>
                <w:rFonts w:hint="eastAsia"/>
                <w:sz w:val="24"/>
                <w:szCs w:val="24"/>
                <w:u w:val="single"/>
              </w:rPr>
              <w:t xml:space="preserve">； </w:t>
            </w:r>
          </w:p>
          <w:p>
            <w:pPr>
              <w:widowControl/>
              <w:spacing w:line="360" w:lineRule="auto"/>
              <w:ind w:firstLine="1680" w:firstLineChars="700"/>
              <w:jc w:val="left"/>
              <w:rPr>
                <w:sz w:val="24"/>
                <w:szCs w:val="24"/>
                <w:u w:val="single"/>
              </w:rPr>
            </w:pPr>
            <w:r>
              <w:rPr>
                <w:sz w:val="24"/>
                <w:szCs w:val="24"/>
                <w:u w:val="single"/>
              </w:rPr>
              <w:t>μy—</w:t>
            </w:r>
            <w:r>
              <w:rPr>
                <w:rFonts w:hint="eastAsia"/>
                <w:sz w:val="24"/>
                <w:szCs w:val="24"/>
                <w:u w:val="single"/>
              </w:rPr>
              <w:t>油蒸汽摩尔质量</w:t>
            </w:r>
            <w:r>
              <w:rPr>
                <w:sz w:val="24"/>
                <w:szCs w:val="24"/>
                <w:u w:val="single"/>
              </w:rPr>
              <w:t>(kg/kmol)</w:t>
            </w:r>
            <w:r>
              <w:rPr>
                <w:rFonts w:hint="eastAsia"/>
                <w:sz w:val="24"/>
                <w:szCs w:val="24"/>
                <w:u w:val="single"/>
              </w:rPr>
              <w:t xml:space="preserve">，本次取值 </w:t>
            </w:r>
            <w:r>
              <w:rPr>
                <w:sz w:val="24"/>
                <w:szCs w:val="24"/>
                <w:u w:val="single"/>
              </w:rPr>
              <w:t>170</w:t>
            </w:r>
            <w:r>
              <w:rPr>
                <w:rFonts w:hint="eastAsia"/>
                <w:sz w:val="24"/>
                <w:szCs w:val="24"/>
                <w:u w:val="single"/>
              </w:rPr>
              <w:t xml:space="preserve">。 </w:t>
            </w:r>
          </w:p>
          <w:p>
            <w:pPr>
              <w:widowControl/>
              <w:spacing w:line="360" w:lineRule="auto"/>
              <w:ind w:firstLine="720" w:firstLineChars="300"/>
              <w:jc w:val="left"/>
              <w:rPr>
                <w:u w:val="single"/>
              </w:rPr>
            </w:pPr>
            <w:r>
              <w:rPr>
                <w:rFonts w:hint="eastAsia"/>
                <w:sz w:val="24"/>
                <w:szCs w:val="24"/>
                <w:u w:val="single"/>
              </w:rPr>
              <w:t>小呼吸挥发排放量计算方法：</w:t>
            </w:r>
          </w:p>
          <w:p>
            <w:pPr>
              <w:widowControl/>
              <w:jc w:val="center"/>
              <w:rPr>
                <w:u w:val="single"/>
              </w:rPr>
            </w:pPr>
            <w:r>
              <w:rPr>
                <w:u w:val="single"/>
              </w:rPr>
              <w:drawing>
                <wp:inline distT="0" distB="0" distL="114300" distR="114300">
                  <wp:extent cx="3324225" cy="476250"/>
                  <wp:effectExtent l="0" t="0" r="3175" b="6350"/>
                  <wp:docPr id="2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6"/>
                          <pic:cNvPicPr>
                            <a:picLocks noChangeAspect="1"/>
                          </pic:cNvPicPr>
                        </pic:nvPicPr>
                        <pic:blipFill>
                          <a:blip r:embed="rId18"/>
                          <a:stretch>
                            <a:fillRect/>
                          </a:stretch>
                        </pic:blipFill>
                        <pic:spPr>
                          <a:xfrm>
                            <a:off x="0" y="0"/>
                            <a:ext cx="3324225" cy="476250"/>
                          </a:xfrm>
                          <a:prstGeom prst="rect">
                            <a:avLst/>
                          </a:prstGeom>
                          <a:noFill/>
                          <a:ln w="9525">
                            <a:noFill/>
                          </a:ln>
                        </pic:spPr>
                      </pic:pic>
                    </a:graphicData>
                  </a:graphic>
                </wp:inline>
              </w:drawing>
            </w:r>
          </w:p>
          <w:p>
            <w:pPr>
              <w:widowControl/>
              <w:ind w:firstLine="960" w:firstLineChars="400"/>
              <w:jc w:val="left"/>
              <w:rPr>
                <w:sz w:val="24"/>
                <w:szCs w:val="24"/>
                <w:u w:val="single"/>
              </w:rPr>
            </w:pPr>
            <w:r>
              <w:rPr>
                <w:rFonts w:hint="eastAsia"/>
                <w:sz w:val="24"/>
                <w:szCs w:val="24"/>
                <w:u w:val="single"/>
              </w:rPr>
              <w:t xml:space="preserve">式中： </w:t>
            </w:r>
            <w:r>
              <w:rPr>
                <w:sz w:val="24"/>
                <w:szCs w:val="24"/>
                <w:u w:val="single"/>
              </w:rPr>
              <w:t>LDS—</w:t>
            </w:r>
            <w:r>
              <w:rPr>
                <w:rFonts w:hint="eastAsia"/>
                <w:sz w:val="24"/>
                <w:szCs w:val="24"/>
                <w:u w:val="single"/>
              </w:rPr>
              <w:t>拱顶罐年小呼吸损耗量</w:t>
            </w:r>
            <w:r>
              <w:rPr>
                <w:sz w:val="24"/>
                <w:szCs w:val="24"/>
                <w:u w:val="single"/>
              </w:rPr>
              <w:t>(m</w:t>
            </w:r>
            <w:r>
              <w:rPr>
                <w:rFonts w:hint="eastAsia"/>
                <w:sz w:val="24"/>
                <w:szCs w:val="24"/>
                <w:u w:val="single"/>
                <w:vertAlign w:val="superscript"/>
              </w:rPr>
              <w:t>3</w:t>
            </w:r>
            <w:r>
              <w:rPr>
                <w:sz w:val="24"/>
                <w:szCs w:val="24"/>
                <w:u w:val="single"/>
              </w:rPr>
              <w:t xml:space="preserve"> /a)</w:t>
            </w:r>
            <w:r>
              <w:rPr>
                <w:rFonts w:hint="eastAsia"/>
                <w:sz w:val="24"/>
                <w:szCs w:val="24"/>
                <w:u w:val="single"/>
              </w:rPr>
              <w:t>；</w:t>
            </w:r>
          </w:p>
          <w:p>
            <w:pPr>
              <w:widowControl/>
              <w:spacing w:line="360" w:lineRule="auto"/>
              <w:ind w:firstLine="960" w:firstLineChars="400"/>
              <w:jc w:val="left"/>
              <w:rPr>
                <w:sz w:val="24"/>
                <w:szCs w:val="24"/>
                <w:u w:val="single"/>
              </w:rPr>
            </w:pPr>
            <w:r>
              <w:rPr>
                <w:sz w:val="24"/>
                <w:szCs w:val="24"/>
                <w:u w:val="single"/>
              </w:rPr>
              <w:t>P—</w:t>
            </w:r>
            <w:r>
              <w:rPr>
                <w:rFonts w:hint="eastAsia"/>
                <w:sz w:val="24"/>
                <w:szCs w:val="24"/>
                <w:u w:val="single"/>
              </w:rPr>
              <w:t>油罐内油品本体温度下的蒸汽压</w:t>
            </w:r>
            <w:r>
              <w:rPr>
                <w:sz w:val="24"/>
                <w:szCs w:val="24"/>
                <w:u w:val="single"/>
              </w:rPr>
              <w:t>(kPa)</w:t>
            </w:r>
            <w:r>
              <w:rPr>
                <w:rFonts w:hint="eastAsia"/>
                <w:sz w:val="24"/>
                <w:szCs w:val="24"/>
                <w:u w:val="single"/>
              </w:rPr>
              <w:t xml:space="preserve">，油品本体温度取自油品 </w:t>
            </w:r>
          </w:p>
          <w:p>
            <w:pPr>
              <w:widowControl/>
              <w:spacing w:line="360" w:lineRule="auto"/>
              <w:ind w:firstLine="480" w:firstLineChars="200"/>
              <w:jc w:val="left"/>
              <w:rPr>
                <w:sz w:val="24"/>
                <w:szCs w:val="24"/>
                <w:u w:val="single"/>
              </w:rPr>
            </w:pPr>
            <w:r>
              <w:rPr>
                <w:rFonts w:hint="eastAsia"/>
                <w:sz w:val="24"/>
                <w:szCs w:val="24"/>
                <w:u w:val="single"/>
              </w:rPr>
              <w:t xml:space="preserve">计量报表，如果缺乏这类资料，油品本体温度可取大气温度加 </w:t>
            </w:r>
            <w:r>
              <w:rPr>
                <w:sz w:val="24"/>
                <w:szCs w:val="24"/>
                <w:u w:val="single"/>
              </w:rPr>
              <w:t>2.8</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Pa—</w:t>
            </w:r>
            <w:r>
              <w:rPr>
                <w:rFonts w:hint="eastAsia"/>
                <w:sz w:val="24"/>
                <w:szCs w:val="24"/>
                <w:u w:val="single"/>
              </w:rPr>
              <w:t>当地大气压</w:t>
            </w:r>
            <w:r>
              <w:rPr>
                <w:sz w:val="24"/>
                <w:szCs w:val="24"/>
                <w:u w:val="single"/>
              </w:rPr>
              <w:t>(kPa(A))</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H—</w:t>
            </w:r>
            <w:r>
              <w:rPr>
                <w:rFonts w:hint="eastAsia"/>
                <w:sz w:val="24"/>
                <w:szCs w:val="24"/>
                <w:u w:val="single"/>
              </w:rPr>
              <w:t>油罐内气体空间高度</w:t>
            </w:r>
            <w:r>
              <w:rPr>
                <w:sz w:val="24"/>
                <w:szCs w:val="24"/>
                <w:u w:val="single"/>
              </w:rPr>
              <w:t>(m)</w:t>
            </w:r>
            <w:r>
              <w:rPr>
                <w:rFonts w:hint="eastAsia"/>
                <w:sz w:val="24"/>
                <w:szCs w:val="24"/>
                <w:u w:val="single"/>
              </w:rPr>
              <w:t xml:space="preserve">，包括油罐罐体部分预留容积的高度和 </w:t>
            </w:r>
          </w:p>
          <w:p>
            <w:pPr>
              <w:widowControl/>
              <w:spacing w:line="360" w:lineRule="auto"/>
              <w:ind w:firstLine="480" w:firstLineChars="200"/>
              <w:jc w:val="left"/>
              <w:rPr>
                <w:sz w:val="24"/>
                <w:szCs w:val="24"/>
                <w:u w:val="single"/>
              </w:rPr>
            </w:pPr>
            <w:r>
              <w:rPr>
                <w:rFonts w:hint="eastAsia"/>
                <w:sz w:val="24"/>
                <w:szCs w:val="24"/>
                <w:u w:val="single"/>
              </w:rPr>
              <w:t xml:space="preserve">罐顶部分容积的换算高度； </w:t>
            </w:r>
          </w:p>
          <w:p>
            <w:pPr>
              <w:widowControl/>
              <w:spacing w:line="360" w:lineRule="auto"/>
              <w:ind w:firstLine="960" w:firstLineChars="400"/>
              <w:jc w:val="left"/>
              <w:rPr>
                <w:sz w:val="24"/>
                <w:szCs w:val="24"/>
                <w:u w:val="single"/>
              </w:rPr>
            </w:pPr>
            <w:r>
              <w:rPr>
                <w:rFonts w:hint="eastAsia"/>
                <w:sz w:val="24"/>
                <w:szCs w:val="24"/>
                <w:u w:val="single"/>
              </w:rPr>
              <w:t>△</w:t>
            </w:r>
            <w:r>
              <w:rPr>
                <w:sz w:val="24"/>
                <w:szCs w:val="24"/>
                <w:u w:val="single"/>
              </w:rPr>
              <w:t>T—</w:t>
            </w:r>
            <w:r>
              <w:rPr>
                <w:rFonts w:hint="eastAsia"/>
                <w:sz w:val="24"/>
                <w:szCs w:val="24"/>
                <w:u w:val="single"/>
              </w:rPr>
              <w:t>大气温度的平均日温差</w:t>
            </w:r>
            <w:r>
              <w:rPr>
                <w:sz w:val="24"/>
                <w:szCs w:val="24"/>
                <w:u w:val="single"/>
              </w:rPr>
              <w:t>(</w:t>
            </w:r>
            <w:r>
              <w:rPr>
                <w:rFonts w:hint="eastAsia"/>
                <w:sz w:val="24"/>
                <w:szCs w:val="24"/>
                <w:u w:val="single"/>
              </w:rPr>
              <w:t>℃</w:t>
            </w:r>
            <w:r>
              <w:rPr>
                <w:sz w:val="24"/>
                <w:szCs w:val="24"/>
                <w:u w:val="single"/>
              </w:rPr>
              <w:t>)</w:t>
            </w:r>
            <w:r>
              <w:rPr>
                <w:rFonts w:hint="eastAsia"/>
                <w:sz w:val="24"/>
                <w:szCs w:val="24"/>
                <w:u w:val="single"/>
              </w:rPr>
              <w:t xml:space="preserve">，取值 </w:t>
            </w:r>
            <w:r>
              <w:rPr>
                <w:sz w:val="24"/>
                <w:szCs w:val="24"/>
                <w:u w:val="single"/>
              </w:rPr>
              <w:t>15</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FP—</w:t>
            </w:r>
            <w:r>
              <w:rPr>
                <w:rFonts w:hint="eastAsia"/>
                <w:sz w:val="24"/>
                <w:szCs w:val="24"/>
                <w:u w:val="single"/>
              </w:rPr>
              <w:t xml:space="preserve">涂料系数，查表 </w:t>
            </w:r>
            <w:r>
              <w:rPr>
                <w:sz w:val="24"/>
                <w:szCs w:val="24"/>
                <w:u w:val="single"/>
              </w:rPr>
              <w:t>A.0.3-1</w:t>
            </w:r>
            <w:r>
              <w:rPr>
                <w:rFonts w:hint="eastAsia"/>
                <w:sz w:val="24"/>
                <w:szCs w:val="24"/>
                <w:u w:val="single"/>
              </w:rPr>
              <w:t xml:space="preserve">，取值 </w:t>
            </w:r>
            <w:r>
              <w:rPr>
                <w:sz w:val="24"/>
                <w:szCs w:val="24"/>
                <w:u w:val="single"/>
              </w:rPr>
              <w:t>1.2</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K2—</w:t>
            </w:r>
            <w:r>
              <w:rPr>
                <w:rFonts w:hint="eastAsia"/>
                <w:sz w:val="24"/>
                <w:szCs w:val="24"/>
                <w:u w:val="single"/>
              </w:rPr>
              <w:t>单位换算系数，</w:t>
            </w:r>
            <w:r>
              <w:rPr>
                <w:sz w:val="24"/>
                <w:szCs w:val="24"/>
                <w:u w:val="single"/>
              </w:rPr>
              <w:t>K2=3.05</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K3—</w:t>
            </w:r>
            <w:r>
              <w:rPr>
                <w:rFonts w:hint="eastAsia"/>
                <w:sz w:val="24"/>
                <w:szCs w:val="24"/>
                <w:u w:val="single"/>
              </w:rPr>
              <w:t xml:space="preserve">油品系数，原油 </w:t>
            </w:r>
            <w:r>
              <w:rPr>
                <w:sz w:val="24"/>
                <w:szCs w:val="24"/>
                <w:u w:val="single"/>
              </w:rPr>
              <w:t>K3</w:t>
            </w:r>
            <w:r>
              <w:rPr>
                <w:rFonts w:hint="eastAsia"/>
                <w:sz w:val="24"/>
                <w:szCs w:val="24"/>
                <w:u w:val="single"/>
              </w:rPr>
              <w:t>＝</w:t>
            </w:r>
            <w:r>
              <w:rPr>
                <w:sz w:val="24"/>
                <w:szCs w:val="24"/>
                <w:u w:val="single"/>
              </w:rPr>
              <w:t>0.58</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C1—</w:t>
            </w:r>
            <w:r>
              <w:rPr>
                <w:rFonts w:hint="eastAsia"/>
                <w:sz w:val="24"/>
                <w:szCs w:val="24"/>
                <w:u w:val="single"/>
              </w:rPr>
              <w:t xml:space="preserve">小直径油罐修正系数，可用下式计算，计算结果 </w:t>
            </w:r>
            <w:r>
              <w:rPr>
                <w:sz w:val="24"/>
                <w:szCs w:val="24"/>
                <w:u w:val="single"/>
              </w:rPr>
              <w:t>C1</w:t>
            </w:r>
            <w:r>
              <w:rPr>
                <w:rFonts w:hint="eastAsia"/>
                <w:sz w:val="24"/>
                <w:szCs w:val="24"/>
                <w:u w:val="single"/>
              </w:rPr>
              <w:t xml:space="preserve">取值 </w:t>
            </w:r>
            <w:r>
              <w:rPr>
                <w:sz w:val="24"/>
                <w:szCs w:val="24"/>
                <w:u w:val="single"/>
              </w:rPr>
              <w:t>0.43</w:t>
            </w:r>
            <w:r>
              <w:rPr>
                <w:rFonts w:hint="eastAsia"/>
                <w:sz w:val="24"/>
                <w:szCs w:val="24"/>
                <w:u w:val="single"/>
              </w:rPr>
              <w:t xml:space="preserve">； </w:t>
            </w:r>
          </w:p>
          <w:p>
            <w:pPr>
              <w:widowControl/>
              <w:spacing w:line="360" w:lineRule="auto"/>
              <w:ind w:firstLine="960" w:firstLineChars="400"/>
              <w:jc w:val="left"/>
              <w:rPr>
                <w:sz w:val="24"/>
                <w:szCs w:val="24"/>
                <w:u w:val="single"/>
              </w:rPr>
            </w:pPr>
            <w:r>
              <w:rPr>
                <w:rFonts w:hint="eastAsia"/>
                <w:sz w:val="24"/>
                <w:szCs w:val="24"/>
                <w:u w:val="single"/>
              </w:rPr>
              <w:t xml:space="preserve">当 </w:t>
            </w:r>
            <w:r>
              <w:rPr>
                <w:sz w:val="24"/>
                <w:szCs w:val="24"/>
                <w:u w:val="single"/>
              </w:rPr>
              <w:t xml:space="preserve">D≥9.14m </w:t>
            </w:r>
            <w:r>
              <w:rPr>
                <w:rFonts w:hint="eastAsia"/>
                <w:sz w:val="24"/>
                <w:szCs w:val="24"/>
                <w:u w:val="single"/>
              </w:rPr>
              <w:t>时，</w:t>
            </w:r>
            <w:r>
              <w:rPr>
                <w:sz w:val="24"/>
                <w:szCs w:val="24"/>
                <w:u w:val="single"/>
              </w:rPr>
              <w:t>C1=1</w:t>
            </w:r>
            <w:r>
              <w:rPr>
                <w:rFonts w:hint="eastAsia"/>
                <w:sz w:val="24"/>
                <w:szCs w:val="24"/>
                <w:u w:val="single"/>
              </w:rPr>
              <w:t xml:space="preserve">； </w:t>
            </w:r>
          </w:p>
          <w:p>
            <w:pPr>
              <w:widowControl/>
              <w:spacing w:line="360" w:lineRule="auto"/>
              <w:ind w:firstLine="960" w:firstLineChars="400"/>
              <w:jc w:val="left"/>
              <w:rPr>
                <w:sz w:val="24"/>
                <w:szCs w:val="24"/>
                <w:u w:val="single"/>
              </w:rPr>
            </w:pPr>
            <w:r>
              <w:rPr>
                <w:rFonts w:hint="eastAsia"/>
                <w:sz w:val="24"/>
                <w:szCs w:val="24"/>
                <w:u w:val="single"/>
              </w:rPr>
              <w:t xml:space="preserve">当 </w:t>
            </w:r>
            <w:r>
              <w:rPr>
                <w:sz w:val="24"/>
                <w:szCs w:val="24"/>
                <w:u w:val="single"/>
              </w:rPr>
              <w:t xml:space="preserve">1.83m&lt;D&lt;9.14m </w:t>
            </w:r>
            <w:r>
              <w:rPr>
                <w:rFonts w:hint="eastAsia"/>
                <w:sz w:val="24"/>
                <w:szCs w:val="24"/>
                <w:u w:val="single"/>
              </w:rPr>
              <w:t>时，</w:t>
            </w:r>
            <w:r>
              <w:rPr>
                <w:sz w:val="24"/>
                <w:szCs w:val="24"/>
                <w:u w:val="single"/>
              </w:rPr>
              <w:t xml:space="preserve">C1=a+bd </w:t>
            </w:r>
            <w:r>
              <w:rPr>
                <w:rFonts w:hint="eastAsia"/>
                <w:sz w:val="24"/>
                <w:szCs w:val="24"/>
                <w:u w:val="single"/>
              </w:rPr>
              <w:t xml:space="preserve">十 </w:t>
            </w:r>
            <w:r>
              <w:rPr>
                <w:sz w:val="24"/>
                <w:szCs w:val="24"/>
                <w:u w:val="single"/>
              </w:rPr>
              <w:t xml:space="preserve">eD2+fD3 </w:t>
            </w:r>
          </w:p>
          <w:p>
            <w:pPr>
              <w:widowControl/>
              <w:spacing w:line="360" w:lineRule="auto"/>
              <w:ind w:firstLine="960" w:firstLineChars="400"/>
              <w:jc w:val="left"/>
              <w:rPr>
                <w:sz w:val="24"/>
                <w:szCs w:val="24"/>
                <w:u w:val="single"/>
              </w:rPr>
            </w:pPr>
            <w:r>
              <w:rPr>
                <w:sz w:val="24"/>
                <w:szCs w:val="24"/>
                <w:u w:val="single"/>
              </w:rPr>
              <w:t>a=8.2626×10 -2</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b=7.3631×10 -2</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e=1.3099×10 -3</w:t>
            </w:r>
            <w:r>
              <w:rPr>
                <w:rFonts w:hint="eastAsia"/>
                <w:sz w:val="24"/>
                <w:szCs w:val="24"/>
                <w:u w:val="single"/>
              </w:rPr>
              <w:t xml:space="preserve">； </w:t>
            </w:r>
          </w:p>
          <w:p>
            <w:pPr>
              <w:widowControl/>
              <w:spacing w:line="360" w:lineRule="auto"/>
              <w:ind w:firstLine="960" w:firstLineChars="400"/>
              <w:jc w:val="left"/>
              <w:rPr>
                <w:sz w:val="24"/>
                <w:szCs w:val="24"/>
                <w:u w:val="single"/>
              </w:rPr>
            </w:pPr>
            <w:r>
              <w:rPr>
                <w:sz w:val="24"/>
                <w:szCs w:val="24"/>
                <w:u w:val="single"/>
              </w:rPr>
              <w:t>f=1.9891×10 -6</w:t>
            </w:r>
            <w:r>
              <w:rPr>
                <w:rFonts w:hint="eastAsia"/>
                <w:sz w:val="24"/>
                <w:szCs w:val="24"/>
                <w:u w:val="single"/>
              </w:rPr>
              <w:t xml:space="preserve">。 </w:t>
            </w:r>
          </w:p>
          <w:p>
            <w:pPr>
              <w:widowControl/>
              <w:spacing w:line="360" w:lineRule="auto"/>
              <w:ind w:firstLine="480" w:firstLineChars="200"/>
              <w:jc w:val="left"/>
              <w:rPr>
                <w:u w:val="single"/>
              </w:rPr>
            </w:pPr>
            <w:r>
              <w:rPr>
                <w:rFonts w:hint="eastAsia"/>
                <w:sz w:val="24"/>
                <w:szCs w:val="24"/>
                <w:u w:val="single"/>
              </w:rPr>
              <w:t>经计算，储罐区非甲烷总烃无组织排放量见下表。</w:t>
            </w:r>
          </w:p>
          <w:p>
            <w:pPr>
              <w:widowControl/>
              <w:spacing w:line="360" w:lineRule="auto"/>
              <w:jc w:val="center"/>
              <w:rPr>
                <w:sz w:val="24"/>
                <w:szCs w:val="24"/>
                <w:u w:val="single"/>
              </w:rPr>
            </w:pPr>
            <w:r>
              <w:rPr>
                <w:rFonts w:hint="eastAsia"/>
                <w:b/>
                <w:bCs/>
                <w:sz w:val="24"/>
                <w:szCs w:val="24"/>
                <w:u w:val="single"/>
              </w:rPr>
              <w:t>表3</w:t>
            </w:r>
            <w:r>
              <w:rPr>
                <w:rFonts w:hint="eastAsia"/>
                <w:b/>
                <w:bCs/>
                <w:sz w:val="24"/>
                <w:szCs w:val="24"/>
                <w:u w:val="single"/>
                <w:lang w:val="en-US" w:eastAsia="zh-CN"/>
              </w:rPr>
              <w:t>7</w:t>
            </w:r>
            <w:r>
              <w:rPr>
                <w:rFonts w:hint="eastAsia"/>
                <w:b/>
                <w:bCs/>
                <w:sz w:val="24"/>
                <w:szCs w:val="24"/>
                <w:u w:val="single"/>
              </w:rPr>
              <w:t xml:space="preserve">  运行期储罐非甲烷总烃产生排放一览表</w:t>
            </w:r>
            <w:r>
              <w:rPr>
                <w:rFonts w:hint="eastAsia"/>
                <w:sz w:val="24"/>
                <w:szCs w:val="24"/>
                <w:u w:val="single"/>
              </w:rPr>
              <w:t xml:space="preserve"> </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02"/>
              <w:gridCol w:w="1602"/>
              <w:gridCol w:w="1605"/>
              <w:gridCol w:w="1602"/>
              <w:gridCol w:w="16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50" w:hRule="atLeast"/>
                <w:jc w:val="center"/>
              </w:trPr>
              <w:tc>
                <w:tcPr>
                  <w:tcW w:w="999" w:type="pct"/>
                  <w:tcBorders>
                    <w:tl2br w:val="nil"/>
                    <w:tr2bl w:val="nil"/>
                  </w:tcBorders>
                  <w:vAlign w:val="center"/>
                </w:tcPr>
                <w:p>
                  <w:pPr>
                    <w:pStyle w:val="81"/>
                    <w:snapToGrid w:val="0"/>
                    <w:rPr>
                      <w:b/>
                      <w:bCs/>
                      <w:u w:val="single"/>
                      <w:lang w:eastAsia="zh-CN"/>
                    </w:rPr>
                  </w:pPr>
                  <w:r>
                    <w:rPr>
                      <w:rFonts w:hint="eastAsia"/>
                      <w:b/>
                      <w:bCs/>
                      <w:u w:val="single"/>
                      <w:lang w:eastAsia="zh-CN"/>
                    </w:rPr>
                    <w:t>排放类型</w:t>
                  </w:r>
                </w:p>
              </w:tc>
              <w:tc>
                <w:tcPr>
                  <w:tcW w:w="999" w:type="pct"/>
                  <w:tcBorders>
                    <w:tl2br w:val="nil"/>
                    <w:tr2bl w:val="nil"/>
                  </w:tcBorders>
                  <w:vAlign w:val="center"/>
                </w:tcPr>
                <w:p>
                  <w:pPr>
                    <w:pStyle w:val="81"/>
                    <w:snapToGrid w:val="0"/>
                    <w:rPr>
                      <w:b/>
                      <w:bCs/>
                      <w:u w:val="single"/>
                      <w:lang w:eastAsia="zh-CN"/>
                    </w:rPr>
                  </w:pPr>
                  <w:r>
                    <w:rPr>
                      <w:rFonts w:hint="eastAsia"/>
                      <w:b/>
                      <w:bCs/>
                      <w:u w:val="single"/>
                      <w:lang w:eastAsia="zh-CN"/>
                    </w:rPr>
                    <w:t>罐型</w:t>
                  </w:r>
                </w:p>
              </w:tc>
              <w:tc>
                <w:tcPr>
                  <w:tcW w:w="999" w:type="pct"/>
                  <w:tcBorders>
                    <w:tl2br w:val="nil"/>
                    <w:tr2bl w:val="nil"/>
                  </w:tcBorders>
                  <w:vAlign w:val="center"/>
                </w:tcPr>
                <w:p>
                  <w:pPr>
                    <w:pStyle w:val="81"/>
                    <w:snapToGrid w:val="0"/>
                    <w:rPr>
                      <w:b/>
                      <w:bCs/>
                      <w:u w:val="single"/>
                      <w:lang w:eastAsia="zh-CN"/>
                    </w:rPr>
                  </w:pPr>
                  <w:r>
                    <w:rPr>
                      <w:rFonts w:hint="eastAsia"/>
                      <w:b/>
                      <w:bCs/>
                      <w:u w:val="single"/>
                      <w:lang w:eastAsia="zh-CN"/>
                    </w:rPr>
                    <w:t>油品储罐</w:t>
                  </w:r>
                </w:p>
              </w:tc>
              <w:tc>
                <w:tcPr>
                  <w:tcW w:w="1000" w:type="pct"/>
                  <w:tcBorders>
                    <w:tl2br w:val="nil"/>
                    <w:tr2bl w:val="nil"/>
                  </w:tcBorders>
                  <w:vAlign w:val="center"/>
                </w:tcPr>
                <w:p>
                  <w:pPr>
                    <w:pStyle w:val="81"/>
                    <w:snapToGrid w:val="0"/>
                    <w:rPr>
                      <w:b/>
                      <w:bCs/>
                      <w:u w:val="single"/>
                      <w:lang w:eastAsia="zh-CN"/>
                    </w:rPr>
                  </w:pPr>
                  <w:r>
                    <w:rPr>
                      <w:rFonts w:hint="eastAsia"/>
                      <w:b/>
                      <w:bCs/>
                      <w:u w:val="single"/>
                      <w:lang w:eastAsia="zh-CN"/>
                    </w:rPr>
                    <w:t>排放速率</w:t>
                  </w:r>
                  <w:r>
                    <w:rPr>
                      <w:b/>
                      <w:bCs/>
                      <w:u w:val="single"/>
                      <w:lang w:eastAsia="zh-CN"/>
                    </w:rPr>
                    <w:t>kg/h</w:t>
                  </w:r>
                </w:p>
              </w:tc>
              <w:tc>
                <w:tcPr>
                  <w:tcW w:w="999" w:type="pct"/>
                  <w:tcBorders>
                    <w:tl2br w:val="nil"/>
                    <w:tr2bl w:val="nil"/>
                  </w:tcBorders>
                  <w:vAlign w:val="center"/>
                </w:tcPr>
                <w:p>
                  <w:pPr>
                    <w:pStyle w:val="81"/>
                    <w:snapToGrid w:val="0"/>
                    <w:rPr>
                      <w:b/>
                      <w:bCs/>
                      <w:u w:val="single"/>
                      <w:lang w:eastAsia="zh-CN"/>
                    </w:rPr>
                  </w:pPr>
                  <w:r>
                    <w:rPr>
                      <w:rFonts w:hint="eastAsia"/>
                      <w:b/>
                      <w:bCs/>
                      <w:u w:val="single"/>
                      <w:lang w:eastAsia="zh-CN"/>
                    </w:rPr>
                    <w:t>排放量</w:t>
                  </w:r>
                  <w:r>
                    <w:rPr>
                      <w:b/>
                      <w:bCs/>
                      <w:u w:val="single"/>
                      <w:lang w:eastAsia="zh-CN"/>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999" w:type="pct"/>
                  <w:tcBorders>
                    <w:tl2br w:val="nil"/>
                    <w:tr2bl w:val="nil"/>
                  </w:tcBorders>
                  <w:vAlign w:val="center"/>
                </w:tcPr>
                <w:p>
                  <w:pPr>
                    <w:pStyle w:val="81"/>
                    <w:snapToGrid w:val="0"/>
                    <w:rPr>
                      <w:u w:val="single"/>
                      <w:lang w:eastAsia="zh-CN"/>
                    </w:rPr>
                  </w:pPr>
                  <w:r>
                    <w:rPr>
                      <w:rFonts w:hint="eastAsia"/>
                      <w:u w:val="single"/>
                      <w:lang w:eastAsia="zh-CN"/>
                    </w:rPr>
                    <w:t>大呼吸</w:t>
                  </w:r>
                </w:p>
              </w:tc>
              <w:tc>
                <w:tcPr>
                  <w:tcW w:w="999" w:type="pct"/>
                  <w:tcBorders>
                    <w:tl2br w:val="nil"/>
                    <w:tr2bl w:val="nil"/>
                  </w:tcBorders>
                  <w:vAlign w:val="center"/>
                </w:tcPr>
                <w:p>
                  <w:pPr>
                    <w:pStyle w:val="81"/>
                    <w:snapToGrid w:val="0"/>
                    <w:rPr>
                      <w:u w:val="single"/>
                      <w:lang w:eastAsia="zh-CN"/>
                    </w:rPr>
                  </w:pPr>
                  <w:r>
                    <w:rPr>
                      <w:rFonts w:hint="eastAsia"/>
                      <w:u w:val="single"/>
                      <w:lang w:eastAsia="zh-CN"/>
                    </w:rPr>
                    <w:t>固定拱顶罐</w:t>
                  </w:r>
                </w:p>
              </w:tc>
              <w:tc>
                <w:tcPr>
                  <w:tcW w:w="999" w:type="pct"/>
                  <w:tcBorders>
                    <w:tl2br w:val="nil"/>
                    <w:tr2bl w:val="nil"/>
                  </w:tcBorders>
                  <w:vAlign w:val="center"/>
                </w:tcPr>
                <w:p>
                  <w:pPr>
                    <w:pStyle w:val="81"/>
                    <w:snapToGrid w:val="0"/>
                    <w:rPr>
                      <w:u w:val="single"/>
                      <w:lang w:eastAsia="zh-CN"/>
                    </w:rPr>
                  </w:pPr>
                  <w:r>
                    <w:rPr>
                      <w:rFonts w:hint="eastAsia"/>
                      <w:u w:val="single"/>
                      <w:lang w:eastAsia="zh-CN"/>
                    </w:rPr>
                    <w:t>废机油储罐</w:t>
                  </w:r>
                </w:p>
              </w:tc>
              <w:tc>
                <w:tcPr>
                  <w:tcW w:w="1000" w:type="pct"/>
                  <w:tcBorders>
                    <w:tl2br w:val="nil"/>
                    <w:tr2bl w:val="nil"/>
                  </w:tcBorders>
                  <w:vAlign w:val="center"/>
                </w:tcPr>
                <w:p>
                  <w:pPr>
                    <w:pStyle w:val="82"/>
                    <w:adjustRightInd w:val="0"/>
                    <w:snapToGrid w:val="0"/>
                    <w:jc w:val="center"/>
                    <w:rPr>
                      <w:u w:val="single"/>
                    </w:rPr>
                  </w:pPr>
                  <w:r>
                    <w:rPr>
                      <w:rFonts w:hint="eastAsia"/>
                      <w:u w:val="single"/>
                    </w:rPr>
                    <w:t>0.0005</w:t>
                  </w:r>
                </w:p>
              </w:tc>
              <w:tc>
                <w:tcPr>
                  <w:tcW w:w="999" w:type="pct"/>
                  <w:tcBorders>
                    <w:tl2br w:val="nil"/>
                    <w:tr2bl w:val="nil"/>
                  </w:tcBorders>
                  <w:vAlign w:val="center"/>
                </w:tcPr>
                <w:p>
                  <w:pPr>
                    <w:pStyle w:val="82"/>
                    <w:adjustRightInd w:val="0"/>
                    <w:snapToGrid w:val="0"/>
                    <w:jc w:val="center"/>
                    <w:rPr>
                      <w:u w:val="single"/>
                    </w:rPr>
                  </w:pPr>
                  <w:r>
                    <w:rPr>
                      <w:rFonts w:hint="eastAsia"/>
                      <w:u w:val="single"/>
                    </w:rPr>
                    <w:t>0.0012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50" w:hRule="atLeast"/>
                <w:jc w:val="center"/>
              </w:trPr>
              <w:tc>
                <w:tcPr>
                  <w:tcW w:w="999" w:type="pct"/>
                  <w:tcBorders>
                    <w:tl2br w:val="nil"/>
                    <w:tr2bl w:val="nil"/>
                  </w:tcBorders>
                  <w:vAlign w:val="center"/>
                </w:tcPr>
                <w:p>
                  <w:pPr>
                    <w:pStyle w:val="81"/>
                    <w:snapToGrid w:val="0"/>
                    <w:rPr>
                      <w:u w:val="single"/>
                      <w:lang w:eastAsia="zh-CN"/>
                    </w:rPr>
                  </w:pPr>
                  <w:r>
                    <w:rPr>
                      <w:rFonts w:hint="eastAsia"/>
                      <w:u w:val="single"/>
                      <w:lang w:eastAsia="zh-CN"/>
                    </w:rPr>
                    <w:t>小呼吸</w:t>
                  </w:r>
                </w:p>
              </w:tc>
              <w:tc>
                <w:tcPr>
                  <w:tcW w:w="999" w:type="pct"/>
                  <w:tcBorders>
                    <w:tl2br w:val="nil"/>
                    <w:tr2bl w:val="nil"/>
                  </w:tcBorders>
                  <w:vAlign w:val="center"/>
                </w:tcPr>
                <w:p>
                  <w:pPr>
                    <w:pStyle w:val="81"/>
                    <w:snapToGrid w:val="0"/>
                    <w:rPr>
                      <w:u w:val="single"/>
                      <w:lang w:eastAsia="zh-CN"/>
                    </w:rPr>
                  </w:pPr>
                  <w:r>
                    <w:rPr>
                      <w:rFonts w:hint="eastAsia"/>
                      <w:u w:val="single"/>
                      <w:lang w:eastAsia="zh-CN"/>
                    </w:rPr>
                    <w:t>固定拱顶罐</w:t>
                  </w:r>
                </w:p>
              </w:tc>
              <w:tc>
                <w:tcPr>
                  <w:tcW w:w="999" w:type="pct"/>
                  <w:tcBorders>
                    <w:tl2br w:val="nil"/>
                    <w:tr2bl w:val="nil"/>
                  </w:tcBorders>
                  <w:vAlign w:val="center"/>
                </w:tcPr>
                <w:p>
                  <w:pPr>
                    <w:pStyle w:val="81"/>
                    <w:snapToGrid w:val="0"/>
                    <w:rPr>
                      <w:u w:val="single"/>
                      <w:lang w:eastAsia="zh-CN"/>
                    </w:rPr>
                  </w:pPr>
                  <w:r>
                    <w:rPr>
                      <w:rFonts w:hint="eastAsia"/>
                      <w:u w:val="single"/>
                      <w:lang w:eastAsia="zh-CN"/>
                    </w:rPr>
                    <w:t>废机油储罐</w:t>
                  </w:r>
                </w:p>
              </w:tc>
              <w:tc>
                <w:tcPr>
                  <w:tcW w:w="1000" w:type="pct"/>
                  <w:tcBorders>
                    <w:tl2br w:val="nil"/>
                    <w:tr2bl w:val="nil"/>
                  </w:tcBorders>
                  <w:vAlign w:val="center"/>
                </w:tcPr>
                <w:p>
                  <w:pPr>
                    <w:pStyle w:val="82"/>
                    <w:adjustRightInd w:val="0"/>
                    <w:snapToGrid w:val="0"/>
                    <w:jc w:val="center"/>
                    <w:rPr>
                      <w:u w:val="single"/>
                    </w:rPr>
                  </w:pPr>
                  <w:r>
                    <w:rPr>
                      <w:rFonts w:hint="eastAsia"/>
                      <w:u w:val="single"/>
                    </w:rPr>
                    <w:t>0.00108</w:t>
                  </w:r>
                </w:p>
              </w:tc>
              <w:tc>
                <w:tcPr>
                  <w:tcW w:w="999" w:type="pct"/>
                  <w:tcBorders>
                    <w:tl2br w:val="nil"/>
                    <w:tr2bl w:val="nil"/>
                  </w:tcBorders>
                  <w:vAlign w:val="center"/>
                </w:tcPr>
                <w:p>
                  <w:pPr>
                    <w:pStyle w:val="82"/>
                    <w:adjustRightInd w:val="0"/>
                    <w:snapToGrid w:val="0"/>
                    <w:jc w:val="center"/>
                    <w:rPr>
                      <w:u w:val="single"/>
                    </w:rPr>
                  </w:pPr>
                  <w:r>
                    <w:rPr>
                      <w:rFonts w:hint="eastAsia"/>
                      <w:u w:val="single"/>
                    </w:rPr>
                    <w:t>0.0026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2999" w:type="pct"/>
                  <w:gridSpan w:val="3"/>
                  <w:tcBorders>
                    <w:tl2br w:val="nil"/>
                    <w:tr2bl w:val="nil"/>
                  </w:tcBorders>
                  <w:vAlign w:val="center"/>
                </w:tcPr>
                <w:p>
                  <w:pPr>
                    <w:pStyle w:val="82"/>
                    <w:adjustRightInd w:val="0"/>
                    <w:snapToGrid w:val="0"/>
                    <w:jc w:val="center"/>
                    <w:rPr>
                      <w:u w:val="single"/>
                    </w:rPr>
                  </w:pPr>
                  <w:r>
                    <w:rPr>
                      <w:rFonts w:hint="eastAsia"/>
                      <w:u w:val="single"/>
                    </w:rPr>
                    <w:t>合计</w:t>
                  </w:r>
                </w:p>
              </w:tc>
              <w:tc>
                <w:tcPr>
                  <w:tcW w:w="1000" w:type="pct"/>
                  <w:tcBorders>
                    <w:tl2br w:val="nil"/>
                    <w:tr2bl w:val="nil"/>
                  </w:tcBorders>
                  <w:vAlign w:val="center"/>
                </w:tcPr>
                <w:p>
                  <w:pPr>
                    <w:pStyle w:val="82"/>
                    <w:adjustRightInd w:val="0"/>
                    <w:snapToGrid w:val="0"/>
                    <w:jc w:val="center"/>
                    <w:rPr>
                      <w:u w:val="single"/>
                    </w:rPr>
                  </w:pPr>
                  <w:r>
                    <w:rPr>
                      <w:rFonts w:hint="eastAsia"/>
                      <w:u w:val="single"/>
                    </w:rPr>
                    <w:t>0.00158</w:t>
                  </w:r>
                </w:p>
              </w:tc>
              <w:tc>
                <w:tcPr>
                  <w:tcW w:w="999" w:type="pct"/>
                  <w:tcBorders>
                    <w:tl2br w:val="nil"/>
                    <w:tr2bl w:val="nil"/>
                  </w:tcBorders>
                  <w:vAlign w:val="center"/>
                </w:tcPr>
                <w:p>
                  <w:pPr>
                    <w:pStyle w:val="82"/>
                    <w:adjustRightInd w:val="0"/>
                    <w:snapToGrid w:val="0"/>
                    <w:jc w:val="center"/>
                    <w:rPr>
                      <w:u w:val="single"/>
                    </w:rPr>
                  </w:pPr>
                  <w:r>
                    <w:rPr>
                      <w:rFonts w:hint="eastAsia"/>
                      <w:u w:val="single"/>
                    </w:rPr>
                    <w:t>0.0038</w:t>
                  </w:r>
                </w:p>
              </w:tc>
            </w:tr>
          </w:tbl>
          <w:p>
            <w:pPr>
              <w:widowControl/>
              <w:spacing w:line="360" w:lineRule="auto"/>
              <w:ind w:firstLine="480" w:firstLineChars="200"/>
              <w:jc w:val="left"/>
              <w:rPr>
                <w:sz w:val="24"/>
                <w:szCs w:val="24"/>
                <w:u w:val="single"/>
              </w:rPr>
            </w:pPr>
            <w:r>
              <w:rPr>
                <w:rFonts w:hint="eastAsia"/>
                <w:sz w:val="24"/>
                <w:szCs w:val="24"/>
                <w:u w:val="single"/>
              </w:rPr>
              <w:t xml:space="preserve">储油罐大小呼吸作用总计排放非甲烷总烃总量为 </w:t>
            </w:r>
            <w:r>
              <w:rPr>
                <w:sz w:val="24"/>
                <w:szCs w:val="24"/>
                <w:u w:val="single"/>
              </w:rPr>
              <w:t>0.0038t/a</w:t>
            </w:r>
            <w:r>
              <w:rPr>
                <w:rFonts w:hint="eastAsia"/>
                <w:sz w:val="24"/>
                <w:szCs w:val="24"/>
                <w:u w:val="single"/>
              </w:rPr>
              <w:t xml:space="preserve">，为了避免非甲烷总烃的无组织排放，在储油罐上方设置集气系统，收集效率不低于 </w:t>
            </w:r>
            <w:r>
              <w:rPr>
                <w:rFonts w:hint="eastAsia"/>
                <w:sz w:val="24"/>
                <w:szCs w:val="24"/>
                <w:u w:val="single"/>
                <w:lang w:val="en-US" w:eastAsia="zh-CN"/>
              </w:rPr>
              <w:t>9</w:t>
            </w:r>
            <w:r>
              <w:rPr>
                <w:sz w:val="24"/>
                <w:szCs w:val="24"/>
                <w:u w:val="single"/>
              </w:rPr>
              <w:t>0%</w:t>
            </w:r>
            <w:r>
              <w:rPr>
                <w:rFonts w:hint="eastAsia"/>
                <w:sz w:val="24"/>
                <w:szCs w:val="24"/>
                <w:u w:val="single"/>
              </w:rPr>
              <w:t>，排风系统风量不低于</w:t>
            </w:r>
            <w:r>
              <w:rPr>
                <w:rFonts w:hint="eastAsia"/>
                <w:sz w:val="24"/>
                <w:szCs w:val="24"/>
                <w:u w:val="single"/>
                <w:lang w:val="en-US" w:eastAsia="zh-CN"/>
              </w:rPr>
              <w:t>5</w:t>
            </w:r>
            <w:r>
              <w:rPr>
                <w:sz w:val="24"/>
                <w:szCs w:val="24"/>
                <w:u w:val="single"/>
              </w:rPr>
              <w:t>000m</w:t>
            </w:r>
            <w:r>
              <w:rPr>
                <w:rFonts w:hint="eastAsia"/>
                <w:sz w:val="24"/>
                <w:szCs w:val="24"/>
                <w:u w:val="single"/>
                <w:vertAlign w:val="superscript"/>
              </w:rPr>
              <w:t>3</w:t>
            </w:r>
            <w:r>
              <w:rPr>
                <w:sz w:val="24"/>
                <w:szCs w:val="24"/>
                <w:u w:val="single"/>
              </w:rPr>
              <w:t xml:space="preserve"> /h</w:t>
            </w:r>
            <w:r>
              <w:rPr>
                <w:rFonts w:hint="eastAsia"/>
                <w:sz w:val="24"/>
                <w:szCs w:val="24"/>
                <w:u w:val="single"/>
              </w:rPr>
              <w:t xml:space="preserve">，将呼吸废气引入活性炭装置吸附处理后通过 </w:t>
            </w:r>
            <w:r>
              <w:rPr>
                <w:sz w:val="24"/>
                <w:szCs w:val="24"/>
                <w:u w:val="single"/>
              </w:rPr>
              <w:t>1</w:t>
            </w:r>
            <w:r>
              <w:rPr>
                <w:rFonts w:hint="default" w:asciiTheme="minorAscii" w:hAnsiTheme="minorAscii" w:eastAsiaTheme="minorEastAsia"/>
                <w:spacing w:val="-6"/>
                <w:sz w:val="24"/>
                <w:szCs w:val="24"/>
                <w:u w:val="single"/>
              </w:rPr>
              <w:t xml:space="preserve">5m高排气筒排放，活性炭吸附率按 </w:t>
            </w:r>
            <w:r>
              <w:rPr>
                <w:rFonts w:hint="eastAsia" w:asciiTheme="minorAscii" w:hAnsiTheme="minorAscii"/>
                <w:spacing w:val="-6"/>
                <w:sz w:val="24"/>
                <w:szCs w:val="24"/>
                <w:u w:val="single"/>
                <w:lang w:val="en-US" w:eastAsia="zh-CN"/>
              </w:rPr>
              <w:t>7</w:t>
            </w:r>
            <w:r>
              <w:rPr>
                <w:rFonts w:hint="default" w:asciiTheme="minorAscii" w:hAnsiTheme="minorAscii" w:eastAsiaTheme="minorEastAsia"/>
                <w:spacing w:val="-6"/>
                <w:sz w:val="24"/>
                <w:szCs w:val="24"/>
                <w:u w:val="single"/>
              </w:rPr>
              <w:t>0%计，则非甲烷总烃排放量为 0.0006t</w:t>
            </w:r>
            <w:r>
              <w:rPr>
                <w:sz w:val="24"/>
                <w:szCs w:val="24"/>
                <w:u w:val="single"/>
              </w:rPr>
              <w:t>/a</w:t>
            </w:r>
            <w:r>
              <w:rPr>
                <w:rFonts w:hint="eastAsia"/>
                <w:sz w:val="24"/>
                <w:szCs w:val="24"/>
                <w:u w:val="single"/>
              </w:rPr>
              <w:t>，排放速率</w:t>
            </w:r>
            <w:r>
              <w:rPr>
                <w:sz w:val="24"/>
                <w:szCs w:val="24"/>
                <w:u w:val="single"/>
              </w:rPr>
              <w:t>0.00025kg/h</w:t>
            </w:r>
            <w:r>
              <w:rPr>
                <w:rFonts w:hint="eastAsia"/>
                <w:sz w:val="24"/>
                <w:szCs w:val="24"/>
                <w:u w:val="single"/>
              </w:rPr>
              <w:t xml:space="preserve">，排放浓度为 </w:t>
            </w:r>
            <w:r>
              <w:rPr>
                <w:sz w:val="24"/>
                <w:szCs w:val="24"/>
                <w:u w:val="single"/>
              </w:rPr>
              <w:t>0.17mg/m</w:t>
            </w:r>
            <w:r>
              <w:rPr>
                <w:rFonts w:hint="eastAsia"/>
                <w:sz w:val="24"/>
                <w:szCs w:val="24"/>
                <w:u w:val="single"/>
                <w:vertAlign w:val="superscript"/>
              </w:rPr>
              <w:t>3</w:t>
            </w:r>
            <w:r>
              <w:rPr>
                <w:rFonts w:hint="eastAsia"/>
                <w:sz w:val="24"/>
                <w:szCs w:val="24"/>
                <w:u w:val="single"/>
              </w:rPr>
              <w:t>。废气通过</w:t>
            </w:r>
            <w:r>
              <w:rPr>
                <w:sz w:val="24"/>
                <w:szCs w:val="24"/>
                <w:u w:val="single"/>
              </w:rPr>
              <w:t xml:space="preserve">15m </w:t>
            </w:r>
            <w:r>
              <w:rPr>
                <w:rFonts w:hint="eastAsia"/>
                <w:sz w:val="24"/>
                <w:szCs w:val="24"/>
                <w:u w:val="single"/>
              </w:rPr>
              <w:t xml:space="preserve">高排气筒排至大气。未被集气罩收集的废气，在车间内形成无组织排放，其排放量为 </w:t>
            </w:r>
            <w:r>
              <w:rPr>
                <w:sz w:val="24"/>
                <w:szCs w:val="24"/>
                <w:u w:val="single"/>
              </w:rPr>
              <w:t>0.00076t/a</w:t>
            </w:r>
            <w:r>
              <w:rPr>
                <w:rFonts w:hint="eastAsia"/>
                <w:sz w:val="24"/>
                <w:szCs w:val="24"/>
                <w:u w:val="single"/>
              </w:rPr>
              <w:t>（</w:t>
            </w:r>
            <w:r>
              <w:rPr>
                <w:sz w:val="24"/>
                <w:szCs w:val="24"/>
                <w:u w:val="single"/>
              </w:rPr>
              <w:t>0.0003kg/h</w:t>
            </w:r>
            <w:r>
              <w:rPr>
                <w:rFonts w:hint="eastAsia"/>
                <w:sz w:val="24"/>
                <w:szCs w:val="24"/>
                <w:u w:val="single"/>
              </w:rPr>
              <w:t>）。</w:t>
            </w:r>
          </w:p>
          <w:p>
            <w:pPr>
              <w:widowControl/>
              <w:spacing w:line="360" w:lineRule="auto"/>
              <w:ind w:firstLine="480" w:firstLineChars="200"/>
              <w:jc w:val="left"/>
              <w:rPr>
                <w:rFonts w:hint="eastAsia"/>
                <w:sz w:val="24"/>
                <w:szCs w:val="24"/>
                <w:u w:val="single"/>
              </w:rPr>
            </w:pPr>
            <w:r>
              <w:rPr>
                <w:rFonts w:hint="eastAsia"/>
                <w:sz w:val="24"/>
                <w:szCs w:val="24"/>
                <w:u w:val="single"/>
              </w:rPr>
              <w:t>拆解车间预处理废气与废机油收储车间废气</w:t>
            </w:r>
            <w:r>
              <w:rPr>
                <w:rFonts w:hint="eastAsia"/>
                <w:sz w:val="24"/>
                <w:szCs w:val="24"/>
                <w:u w:val="single"/>
                <w:lang w:eastAsia="zh-CN"/>
              </w:rPr>
              <w:t>分别</w:t>
            </w:r>
            <w:r>
              <w:rPr>
                <w:rFonts w:hint="eastAsia"/>
                <w:sz w:val="24"/>
                <w:szCs w:val="24"/>
                <w:u w:val="single"/>
              </w:rPr>
              <w:t>采用集气</w:t>
            </w:r>
            <w:r>
              <w:rPr>
                <w:rFonts w:hint="eastAsia"/>
                <w:sz w:val="24"/>
                <w:szCs w:val="24"/>
                <w:u w:val="single"/>
                <w:lang w:eastAsia="zh-CN"/>
              </w:rPr>
              <w:t>罩</w:t>
            </w:r>
            <w:r>
              <w:rPr>
                <w:rFonts w:hint="eastAsia"/>
                <w:sz w:val="24"/>
                <w:szCs w:val="24"/>
                <w:u w:val="single"/>
              </w:rPr>
              <w:t>收集后共用一</w:t>
            </w:r>
            <w:r>
              <w:rPr>
                <w:rFonts w:hint="eastAsia"/>
                <w:sz w:val="24"/>
                <w:szCs w:val="24"/>
                <w:u w:val="single"/>
                <w:lang w:eastAsia="zh-CN"/>
              </w:rPr>
              <w:t>套</w:t>
            </w:r>
            <w:r>
              <w:rPr>
                <w:rFonts w:hint="eastAsia"/>
                <w:sz w:val="24"/>
                <w:szCs w:val="24"/>
                <w:u w:val="single"/>
              </w:rPr>
              <w:t>活性炭吸附装置处理后通过</w:t>
            </w:r>
            <w:r>
              <w:rPr>
                <w:rFonts w:hint="eastAsia"/>
                <w:sz w:val="24"/>
                <w:szCs w:val="24"/>
                <w:u w:val="single"/>
                <w:lang w:val="en-US" w:eastAsia="zh-CN"/>
              </w:rPr>
              <w:t>1</w:t>
            </w:r>
            <w:r>
              <w:rPr>
                <w:rFonts w:hint="eastAsia"/>
                <w:sz w:val="24"/>
                <w:szCs w:val="24"/>
                <w:u w:val="single"/>
              </w:rPr>
              <w:t>根15</w:t>
            </w:r>
            <w:r>
              <w:rPr>
                <w:sz w:val="24"/>
                <w:szCs w:val="24"/>
                <w:u w:val="single"/>
              </w:rPr>
              <w:t>m</w:t>
            </w:r>
            <w:r>
              <w:rPr>
                <w:rFonts w:hint="eastAsia"/>
                <w:sz w:val="24"/>
                <w:szCs w:val="24"/>
                <w:u w:val="single"/>
              </w:rPr>
              <w:t>排气筒高空排放。</w:t>
            </w:r>
          </w:p>
          <w:p>
            <w:pPr>
              <w:spacing w:line="360" w:lineRule="auto"/>
              <w:ind w:firstLine="482" w:firstLineChars="200"/>
              <w:rPr>
                <w:b/>
                <w:bCs/>
                <w:sz w:val="24"/>
                <w:szCs w:val="24"/>
                <w:u w:val="single"/>
              </w:rPr>
            </w:pPr>
            <w:r>
              <w:rPr>
                <w:rFonts w:hint="eastAsia"/>
                <w:b/>
                <w:bCs/>
                <w:sz w:val="24"/>
                <w:szCs w:val="24"/>
                <w:u w:val="single"/>
              </w:rPr>
              <w:t>活性炭吸附工作原理</w:t>
            </w:r>
          </w:p>
          <w:p>
            <w:pPr>
              <w:spacing w:line="360" w:lineRule="auto"/>
              <w:ind w:firstLine="480" w:firstLineChars="200"/>
              <w:rPr>
                <w:sz w:val="24"/>
                <w:szCs w:val="24"/>
                <w:u w:val="single"/>
              </w:rPr>
            </w:pPr>
            <w:r>
              <w:rPr>
                <w:rFonts w:hint="eastAsia"/>
                <w:sz w:val="24"/>
                <w:szCs w:val="24"/>
                <w:u w:val="single"/>
              </w:rPr>
              <w:t>物理吸附：主要发生在活性炭去除液相和气相中杂质的过程中，活性炭的多孔结构提供了大量的表面积，从而使其非常容易达到吸收收集杂质的目的。就像磁力一样，所有的分子之间都具有相互引力。正因为如此，活性炭孔壁上的大量的分子可以产生强大的引力，从而达到将介质中的杂质吸引到孔径中的目的。</w:t>
            </w:r>
          </w:p>
          <w:p>
            <w:pPr>
              <w:spacing w:line="360" w:lineRule="auto"/>
              <w:ind w:firstLine="480" w:firstLineChars="200"/>
              <w:rPr>
                <w:rFonts w:hint="eastAsia" w:eastAsiaTheme="minorEastAsia"/>
                <w:sz w:val="24"/>
                <w:szCs w:val="24"/>
                <w:lang w:eastAsia="zh-CN"/>
              </w:rPr>
            </w:pPr>
            <w:r>
              <w:rPr>
                <w:rFonts w:hint="eastAsia"/>
                <w:sz w:val="24"/>
                <w:szCs w:val="24"/>
                <w:u w:val="single"/>
              </w:rPr>
              <w:t>表面化学反应：除了物理吸附之外，化学反应也经常发生在活性炭的表面。活性炭不仅含碳，而且在其表面含有少量的化学结合、功能团形式的氧和氢，例如羧基、羟基、酚类、内脂类、醚类等。这些表面上含有地氧化物或者络合物可以与被吸附的物质发生化学反应，从而与被吸附的物质结合聚集到活性炭表面。活性炭的吸附正是上述两种吸附综合作用的结果</w:t>
            </w:r>
            <w:r>
              <w:rPr>
                <w:rFonts w:hint="eastAsia"/>
                <w:sz w:val="24"/>
                <w:szCs w:val="24"/>
                <w:u w:val="single"/>
                <w:lang w:eastAsia="zh-CN"/>
              </w:rPr>
              <w:t>。</w:t>
            </w:r>
          </w:p>
          <w:p>
            <w:pPr>
              <w:widowControl/>
              <w:spacing w:line="360" w:lineRule="auto"/>
              <w:ind w:firstLine="456" w:firstLineChars="200"/>
              <w:jc w:val="left"/>
              <w:rPr>
                <w:rFonts w:hint="eastAsia"/>
                <w:sz w:val="24"/>
                <w:szCs w:val="24"/>
                <w:u w:val="single"/>
              </w:rPr>
            </w:pPr>
            <w:r>
              <w:rPr>
                <w:rFonts w:hint="default" w:asciiTheme="minorAscii" w:hAnsiTheme="minorAscii" w:eastAsiaTheme="minorEastAsia"/>
                <w:spacing w:val="-6"/>
                <w:sz w:val="24"/>
                <w:szCs w:val="24"/>
                <w:u w:val="single"/>
              </w:rPr>
              <w:t>根据《排污许可证申请与核发技术规范 废弃资源加工工业》</w:t>
            </w:r>
            <w:r>
              <w:rPr>
                <w:rFonts w:hint="default"/>
                <w:sz w:val="24"/>
                <w:szCs w:val="24"/>
                <w:u w:val="single"/>
                <w:lang w:val="en-US"/>
              </w:rPr>
              <w:t>(</w:t>
            </w:r>
            <w:r>
              <w:rPr>
                <w:sz w:val="24"/>
                <w:szCs w:val="24"/>
                <w:u w:val="single"/>
              </w:rPr>
              <w:t>HJ1034</w:t>
            </w:r>
            <w:r>
              <w:rPr>
                <w:rFonts w:hint="eastAsia"/>
                <w:sz w:val="24"/>
                <w:szCs w:val="24"/>
                <w:u w:val="single"/>
              </w:rPr>
              <w:t>-</w:t>
            </w:r>
            <w:r>
              <w:rPr>
                <w:sz w:val="24"/>
                <w:szCs w:val="24"/>
                <w:u w:val="single"/>
              </w:rPr>
              <w:t>2019</w:t>
            </w:r>
            <w:r>
              <w:rPr>
                <w:rFonts w:hint="default"/>
                <w:sz w:val="24"/>
                <w:szCs w:val="24"/>
                <w:u w:val="single"/>
                <w:lang w:val="en-US"/>
              </w:rPr>
              <w:t>)</w:t>
            </w:r>
            <w:r>
              <w:rPr>
                <w:rFonts w:hint="eastAsia"/>
                <w:sz w:val="24"/>
                <w:szCs w:val="24"/>
                <w:u w:val="single"/>
              </w:rPr>
              <w:t>中表A.1内容，废机动车拆解排污单位非甲烷总烃处理可行技术为活性炭吸附技术，本项目采用活性炭吸附技术进行处理，符合《排污许可证申请与核发技术规范 废弃资源加工工业》（</w:t>
            </w:r>
            <w:r>
              <w:rPr>
                <w:sz w:val="24"/>
                <w:szCs w:val="24"/>
                <w:u w:val="single"/>
              </w:rPr>
              <w:t>HJ1034</w:t>
            </w:r>
            <w:r>
              <w:rPr>
                <w:rFonts w:hint="eastAsia"/>
                <w:sz w:val="24"/>
                <w:szCs w:val="24"/>
                <w:u w:val="single"/>
              </w:rPr>
              <w:t>-</w:t>
            </w:r>
            <w:r>
              <w:rPr>
                <w:sz w:val="24"/>
                <w:szCs w:val="24"/>
                <w:u w:val="single"/>
              </w:rPr>
              <w:t>2019</w:t>
            </w:r>
            <w:r>
              <w:rPr>
                <w:rFonts w:hint="eastAsia"/>
                <w:sz w:val="24"/>
                <w:szCs w:val="24"/>
                <w:u w:val="single"/>
              </w:rPr>
              <w:t>）</w:t>
            </w:r>
            <w:r>
              <w:rPr>
                <w:sz w:val="24"/>
                <w:szCs w:val="24"/>
                <w:u w:val="single"/>
              </w:rPr>
              <w:t>中可行技术要求</w:t>
            </w:r>
            <w:r>
              <w:rPr>
                <w:rFonts w:hint="eastAsia"/>
                <w:sz w:val="24"/>
                <w:szCs w:val="24"/>
                <w:u w:val="single"/>
              </w:rPr>
              <w:t>。</w:t>
            </w:r>
          </w:p>
          <w:p>
            <w:pPr>
              <w:widowControl/>
              <w:spacing w:line="360" w:lineRule="auto"/>
              <w:ind w:firstLine="480" w:firstLineChars="200"/>
              <w:jc w:val="left"/>
              <w:rPr>
                <w:rFonts w:hint="eastAsia"/>
                <w:sz w:val="24"/>
                <w:szCs w:val="24"/>
                <w:u w:val="single"/>
              </w:rPr>
            </w:pPr>
            <w:r>
              <w:rPr>
                <w:rFonts w:hint="eastAsia"/>
                <w:sz w:val="24"/>
                <w:szCs w:val="24"/>
                <w:u w:val="single"/>
                <w:lang w:eastAsia="zh-CN"/>
              </w:rPr>
              <w:t>由以上分析</w:t>
            </w:r>
            <w:r>
              <w:rPr>
                <w:rFonts w:hint="eastAsia"/>
                <w:sz w:val="24"/>
                <w:szCs w:val="24"/>
                <w:u w:val="single"/>
              </w:rPr>
              <w:t>可知，本项目产生的非甲烷总烃满足《大气污染物综合排放标准》（</w:t>
            </w:r>
            <w:r>
              <w:rPr>
                <w:sz w:val="24"/>
                <w:szCs w:val="24"/>
                <w:u w:val="single"/>
              </w:rPr>
              <w:t>GB16297-1996</w:t>
            </w:r>
            <w:r>
              <w:rPr>
                <w:rFonts w:hint="eastAsia"/>
                <w:sz w:val="24"/>
                <w:szCs w:val="24"/>
                <w:u w:val="single"/>
              </w:rPr>
              <w:t>）中相关标准。对周边环境影响较小。</w:t>
            </w:r>
          </w:p>
          <w:p>
            <w:pPr>
              <w:widowControl/>
              <w:spacing w:line="360" w:lineRule="auto"/>
              <w:ind w:firstLine="480" w:firstLineChars="200"/>
              <w:jc w:val="left"/>
              <w:rPr>
                <w:sz w:val="24"/>
                <w:szCs w:val="24"/>
                <w:u w:val="single"/>
              </w:rPr>
            </w:pPr>
            <w:r>
              <w:rPr>
                <w:rFonts w:hint="eastAsia"/>
                <w:sz w:val="24"/>
                <w:szCs w:val="24"/>
                <w:u w:val="single"/>
              </w:rPr>
              <w:t xml:space="preserve">同时，根据 </w:t>
            </w:r>
            <w:r>
              <w:rPr>
                <w:sz w:val="24"/>
                <w:szCs w:val="24"/>
                <w:u w:val="single"/>
              </w:rPr>
              <w:t>GB37822-2019</w:t>
            </w:r>
            <w:r>
              <w:rPr>
                <w:rFonts w:hint="eastAsia"/>
                <w:sz w:val="24"/>
                <w:szCs w:val="24"/>
                <w:u w:val="single"/>
              </w:rPr>
              <w:t xml:space="preserve">《挥发性有机物无组织排放控制标准》中要求，废机油储罐需满足以下几条： </w:t>
            </w:r>
          </w:p>
          <w:p>
            <w:pPr>
              <w:widowControl/>
              <w:spacing w:line="360" w:lineRule="auto"/>
              <w:ind w:firstLine="480" w:firstLineChars="200"/>
              <w:jc w:val="left"/>
              <w:rPr>
                <w:sz w:val="24"/>
                <w:szCs w:val="24"/>
                <w:u w:val="single"/>
              </w:rPr>
            </w:pPr>
            <w:r>
              <w:rPr>
                <w:rFonts w:hint="eastAsia"/>
                <w:sz w:val="24"/>
                <w:szCs w:val="24"/>
                <w:u w:val="single"/>
              </w:rPr>
              <w:t>固定顶罐罐体应保持完好，不应有空洞、缝隙；</w:t>
            </w:r>
          </w:p>
          <w:p>
            <w:pPr>
              <w:widowControl/>
              <w:spacing w:line="360" w:lineRule="auto"/>
              <w:ind w:firstLine="480" w:firstLineChars="200"/>
              <w:jc w:val="left"/>
              <w:rPr>
                <w:sz w:val="24"/>
                <w:szCs w:val="24"/>
                <w:u w:val="single"/>
              </w:rPr>
            </w:pPr>
            <w:r>
              <w:rPr>
                <w:rFonts w:hint="eastAsia"/>
                <w:sz w:val="24"/>
                <w:szCs w:val="24"/>
                <w:u w:val="single"/>
              </w:rPr>
              <w:t xml:space="preserve">储罐除采样、计量、例行检查、维护和其他正常活动外，应密闭； </w:t>
            </w:r>
          </w:p>
          <w:p>
            <w:pPr>
              <w:widowControl/>
              <w:spacing w:line="360" w:lineRule="auto"/>
              <w:ind w:firstLine="480" w:firstLineChars="200"/>
              <w:jc w:val="left"/>
              <w:rPr>
                <w:sz w:val="24"/>
                <w:szCs w:val="24"/>
                <w:u w:val="single"/>
              </w:rPr>
            </w:pPr>
            <w:r>
              <w:rPr>
                <w:rFonts w:hint="eastAsia"/>
                <w:sz w:val="24"/>
                <w:szCs w:val="24"/>
                <w:u w:val="single"/>
              </w:rPr>
              <w:t xml:space="preserve">定期检查呼吸阀的定压是否符合设定要求； </w:t>
            </w:r>
          </w:p>
          <w:p>
            <w:pPr>
              <w:widowControl/>
              <w:spacing w:line="360" w:lineRule="auto"/>
              <w:ind w:firstLine="480" w:firstLineChars="200"/>
              <w:jc w:val="left"/>
              <w:rPr>
                <w:sz w:val="24"/>
                <w:szCs w:val="24"/>
                <w:u w:val="single"/>
              </w:rPr>
            </w:pPr>
            <w:r>
              <w:rPr>
                <w:rFonts w:hint="eastAsia"/>
                <w:sz w:val="24"/>
                <w:szCs w:val="24"/>
                <w:u w:val="single"/>
              </w:rPr>
              <w:t xml:space="preserve">安装气体浓度检测、报警装置。 </w:t>
            </w:r>
          </w:p>
          <w:p>
            <w:pPr>
              <w:widowControl/>
              <w:spacing w:line="360" w:lineRule="auto"/>
              <w:ind w:firstLine="480" w:firstLineChars="200"/>
              <w:jc w:val="left"/>
              <w:rPr>
                <w:sz w:val="24"/>
                <w:szCs w:val="24"/>
                <w:u w:val="single"/>
              </w:rPr>
            </w:pPr>
            <w:r>
              <w:rPr>
                <w:rFonts w:hint="eastAsia"/>
                <w:sz w:val="24"/>
                <w:szCs w:val="24"/>
                <w:u w:val="single"/>
              </w:rPr>
              <w:t xml:space="preserve">为防止本工程废气对周边环境产生影响，评价要求： </w:t>
            </w:r>
          </w:p>
          <w:p>
            <w:pPr>
              <w:widowControl/>
              <w:spacing w:line="360" w:lineRule="auto"/>
              <w:ind w:firstLine="480" w:firstLineChars="200"/>
              <w:jc w:val="left"/>
              <w:rPr>
                <w:sz w:val="24"/>
                <w:szCs w:val="24"/>
                <w:u w:val="single"/>
              </w:rPr>
            </w:pPr>
            <w:r>
              <w:rPr>
                <w:rFonts w:hint="eastAsia"/>
                <w:sz w:val="24"/>
                <w:szCs w:val="24"/>
                <w:u w:val="single"/>
              </w:rPr>
              <w:t xml:space="preserve">建设方需要加强管理，注重废气治理措施的维护和管理，定期对存储及排风装置进行检查，防止堵、漏等现象产生。同时，确保本工程废气处理系统长期稳定、有效运行； </w:t>
            </w:r>
          </w:p>
          <w:p>
            <w:pPr>
              <w:widowControl/>
              <w:spacing w:line="360" w:lineRule="auto"/>
              <w:ind w:firstLine="480" w:firstLineChars="200"/>
              <w:jc w:val="left"/>
              <w:rPr>
                <w:sz w:val="24"/>
                <w:szCs w:val="24"/>
                <w:u w:val="single"/>
              </w:rPr>
            </w:pPr>
            <w:r>
              <w:rPr>
                <w:rFonts w:hint="eastAsia"/>
                <w:sz w:val="24"/>
                <w:szCs w:val="24"/>
                <w:u w:val="single"/>
              </w:rPr>
              <w:t xml:space="preserve">制定一套科学、完整和严格的故障处理制度和应急措施，责任到人，以便发生故障时及时处理；加强厂区监管，定期巡查，检查各周转箱的稳固情况、检查货物在堆存过程中的稳固情况等，若发生问题，应及时予以解决，防止其倒塌、坠地风险发生； </w:t>
            </w:r>
          </w:p>
          <w:p>
            <w:pPr>
              <w:widowControl/>
              <w:spacing w:line="360" w:lineRule="auto"/>
              <w:ind w:firstLine="480" w:firstLineChars="200"/>
              <w:jc w:val="left"/>
              <w:rPr>
                <w:sz w:val="24"/>
                <w:szCs w:val="24"/>
                <w:u w:val="single"/>
              </w:rPr>
            </w:pPr>
            <w:r>
              <w:rPr>
                <w:rFonts w:hint="eastAsia"/>
                <w:sz w:val="24"/>
                <w:szCs w:val="24"/>
                <w:u w:val="single"/>
              </w:rPr>
              <w:t xml:space="preserve">定期检查所贮存的货物密封阀严实情况及壳体开裂情况，如发现密封阀不严实应及时将其拧紧，同时若发生壳体开裂应及时将其转移至破损区存放； </w:t>
            </w:r>
          </w:p>
          <w:p>
            <w:pPr>
              <w:widowControl/>
              <w:spacing w:line="360" w:lineRule="auto"/>
              <w:jc w:val="left"/>
              <w:rPr>
                <w:sz w:val="24"/>
                <w:szCs w:val="24"/>
                <w:u w:val="single"/>
              </w:rPr>
            </w:pPr>
            <w:r>
              <w:rPr>
                <w:rFonts w:hint="eastAsia"/>
                <w:sz w:val="24"/>
                <w:szCs w:val="24"/>
                <w:u w:val="single"/>
              </w:rPr>
              <w:t>在上下车过程中，应文明装、卸，禁止野蛮操作，同时叉车在运作过程中应当做到</w:t>
            </w:r>
            <w:r>
              <w:rPr>
                <w:sz w:val="24"/>
                <w:szCs w:val="24"/>
                <w:u w:val="single"/>
              </w:rPr>
              <w:t>“</w:t>
            </w:r>
            <w:r>
              <w:rPr>
                <w:rFonts w:hint="eastAsia"/>
                <w:sz w:val="24"/>
                <w:szCs w:val="24"/>
                <w:u w:val="single"/>
              </w:rPr>
              <w:t>稳</w:t>
            </w:r>
            <w:r>
              <w:rPr>
                <w:sz w:val="24"/>
                <w:szCs w:val="24"/>
                <w:u w:val="single"/>
              </w:rPr>
              <w:t>”</w:t>
            </w:r>
            <w:r>
              <w:rPr>
                <w:rFonts w:hint="eastAsia"/>
                <w:sz w:val="24"/>
                <w:szCs w:val="24"/>
                <w:u w:val="single"/>
              </w:rPr>
              <w:t>，</w:t>
            </w:r>
            <w:r>
              <w:rPr>
                <w:sz w:val="24"/>
                <w:szCs w:val="24"/>
                <w:u w:val="single"/>
              </w:rPr>
              <w:t>“</w:t>
            </w:r>
            <w:r>
              <w:rPr>
                <w:rFonts w:hint="eastAsia"/>
                <w:sz w:val="24"/>
                <w:szCs w:val="24"/>
                <w:u w:val="single"/>
              </w:rPr>
              <w:t>慢</w:t>
            </w:r>
            <w:r>
              <w:rPr>
                <w:sz w:val="24"/>
                <w:szCs w:val="24"/>
                <w:u w:val="single"/>
              </w:rPr>
              <w:t>”</w:t>
            </w:r>
            <w:r>
              <w:rPr>
                <w:rFonts w:hint="eastAsia"/>
                <w:sz w:val="24"/>
                <w:szCs w:val="24"/>
                <w:u w:val="single"/>
              </w:rPr>
              <w:t>、</w:t>
            </w:r>
            <w:r>
              <w:rPr>
                <w:sz w:val="24"/>
                <w:szCs w:val="24"/>
                <w:u w:val="single"/>
              </w:rPr>
              <w:t>“</w:t>
            </w:r>
            <w:r>
              <w:rPr>
                <w:rFonts w:hint="eastAsia"/>
                <w:sz w:val="24"/>
                <w:szCs w:val="24"/>
                <w:u w:val="single"/>
              </w:rPr>
              <w:t>准</w:t>
            </w:r>
            <w:r>
              <w:rPr>
                <w:sz w:val="24"/>
                <w:szCs w:val="24"/>
                <w:u w:val="single"/>
              </w:rPr>
              <w:t>”</w:t>
            </w:r>
            <w:r>
              <w:rPr>
                <w:rFonts w:hint="eastAsia"/>
                <w:sz w:val="24"/>
                <w:szCs w:val="24"/>
                <w:u w:val="single"/>
              </w:rPr>
              <w:t xml:space="preserve">，严防发生周转箱坠地等事故发生； </w:t>
            </w:r>
          </w:p>
          <w:p>
            <w:pPr>
              <w:widowControl/>
              <w:spacing w:line="360" w:lineRule="auto"/>
              <w:ind w:firstLine="480" w:firstLineChars="200"/>
              <w:jc w:val="left"/>
              <w:rPr>
                <w:sz w:val="24"/>
                <w:szCs w:val="24"/>
                <w:u w:val="single"/>
              </w:rPr>
            </w:pPr>
            <w:r>
              <w:rPr>
                <w:rFonts w:hint="eastAsia"/>
                <w:sz w:val="24"/>
                <w:szCs w:val="24"/>
                <w:u w:val="single"/>
              </w:rPr>
              <w:t>配备事故应急设施：如铁揪、石灰等，若事故发生时应第一时间进行处理，防止对周边环境产生影响等等。</w:t>
            </w:r>
          </w:p>
          <w:p>
            <w:pPr>
              <w:widowControl/>
              <w:spacing w:line="360" w:lineRule="auto"/>
              <w:ind w:firstLine="480" w:firstLineChars="200"/>
              <w:jc w:val="left"/>
              <w:rPr>
                <w:sz w:val="24"/>
                <w:szCs w:val="24"/>
                <w:u w:val="single"/>
              </w:rPr>
            </w:pPr>
            <w:r>
              <w:rPr>
                <w:rFonts w:hint="eastAsia"/>
                <w:sz w:val="24"/>
                <w:szCs w:val="24"/>
                <w:u w:val="single"/>
              </w:rPr>
              <w:t>储油罐上方设置集气</w:t>
            </w:r>
            <w:r>
              <w:rPr>
                <w:rFonts w:hint="eastAsia"/>
                <w:sz w:val="24"/>
                <w:szCs w:val="24"/>
                <w:u w:val="single"/>
                <w:lang w:eastAsia="zh-CN"/>
              </w:rPr>
              <w:t>罩</w:t>
            </w:r>
            <w:r>
              <w:rPr>
                <w:rFonts w:hint="eastAsia"/>
                <w:sz w:val="24"/>
                <w:szCs w:val="24"/>
                <w:u w:val="single"/>
              </w:rPr>
              <w:t xml:space="preserve">，将呼吸废气引入活性炭装置吸附处理后通过 </w:t>
            </w:r>
            <w:r>
              <w:rPr>
                <w:sz w:val="24"/>
                <w:szCs w:val="24"/>
                <w:u w:val="single"/>
              </w:rPr>
              <w:t xml:space="preserve">15m </w:t>
            </w:r>
            <w:r>
              <w:rPr>
                <w:rFonts w:hint="eastAsia"/>
                <w:sz w:val="24"/>
                <w:szCs w:val="24"/>
                <w:u w:val="single"/>
              </w:rPr>
              <w:t>高排气筒排放，非甲烷总烃能够满足《大气污染物综合排放标准》（</w:t>
            </w:r>
            <w:r>
              <w:rPr>
                <w:sz w:val="24"/>
                <w:szCs w:val="24"/>
                <w:u w:val="single"/>
              </w:rPr>
              <w:t>GB16297-1996</w:t>
            </w:r>
            <w:r>
              <w:rPr>
                <w:rFonts w:hint="eastAsia"/>
                <w:sz w:val="24"/>
                <w:szCs w:val="24"/>
                <w:u w:val="single"/>
              </w:rPr>
              <w:t xml:space="preserve">）相关要求及排放标准，达标排放。 </w:t>
            </w:r>
          </w:p>
          <w:p>
            <w:pPr>
              <w:widowControl/>
              <w:spacing w:line="360" w:lineRule="auto"/>
              <w:ind w:firstLine="480" w:firstLineChars="200"/>
              <w:jc w:val="left"/>
              <w:rPr>
                <w:rFonts w:hint="eastAsia" w:eastAsiaTheme="minorEastAsia"/>
                <w:sz w:val="24"/>
                <w:szCs w:val="24"/>
                <w:u w:val="single"/>
                <w:lang w:eastAsia="zh-CN"/>
              </w:rPr>
            </w:pPr>
            <w:r>
              <w:rPr>
                <w:rFonts w:hint="eastAsia"/>
                <w:sz w:val="24"/>
                <w:szCs w:val="24"/>
                <w:u w:val="single"/>
              </w:rPr>
              <w:t>因此，本工程在加强环境管理、落实报告表提出的各项环保措施的前提下，本工程废气对环境影响不大，类比同类工程，其废气处理措施是可行的，对周围区域环境不会产生大的影响</w:t>
            </w:r>
            <w:r>
              <w:rPr>
                <w:rFonts w:hint="eastAsia"/>
                <w:sz w:val="24"/>
                <w:szCs w:val="24"/>
                <w:u w:val="single"/>
                <w:lang w:eastAsia="zh-CN"/>
              </w:rPr>
              <w:t>。</w:t>
            </w:r>
          </w:p>
          <w:p>
            <w:pPr>
              <w:spacing w:line="360" w:lineRule="auto"/>
              <w:ind w:firstLine="480" w:firstLineChars="200"/>
              <w:rPr>
                <w:sz w:val="24"/>
                <w:szCs w:val="24"/>
              </w:rPr>
            </w:pPr>
            <w:r>
              <w:rPr>
                <w:rFonts w:hint="eastAsia"/>
                <w:sz w:val="24"/>
                <w:szCs w:val="24"/>
                <w:u w:val="single"/>
              </w:rPr>
              <w:t>装车过程损耗：本项目</w:t>
            </w:r>
            <w:r>
              <w:rPr>
                <w:sz w:val="24"/>
                <w:szCs w:val="24"/>
                <w:u w:val="single"/>
              </w:rPr>
              <w:t>委托有资质运输公司</w:t>
            </w:r>
            <w:r>
              <w:rPr>
                <w:rFonts w:hint="eastAsia"/>
                <w:sz w:val="24"/>
                <w:szCs w:val="24"/>
                <w:u w:val="single"/>
              </w:rPr>
              <w:t>，为渐少运输过程中挥发出非甲烷总烃逸散至空气中，机油运输过程中采用封闭罐车，因此，项目装车运输过程中产生的废气量较少，同时运输过程中产生的废气扩散条件好，因此运输废气对环境空气影响较小。</w:t>
            </w:r>
          </w:p>
          <w:p>
            <w:pPr>
              <w:adjustRightInd w:val="0"/>
              <w:snapToGrid w:val="0"/>
              <w:spacing w:line="360" w:lineRule="auto"/>
              <w:ind w:firstLine="482"/>
              <w:rPr>
                <w:b/>
                <w:bCs/>
                <w:sz w:val="24"/>
                <w:szCs w:val="24"/>
              </w:rPr>
            </w:pPr>
            <w:r>
              <w:rPr>
                <w:rFonts w:hint="eastAsia"/>
                <w:b/>
                <w:bCs/>
                <w:sz w:val="24"/>
                <w:szCs w:val="24"/>
              </w:rPr>
              <w:t>（</w:t>
            </w:r>
            <w:r>
              <w:rPr>
                <w:rFonts w:hint="eastAsia"/>
                <w:b/>
                <w:bCs/>
                <w:sz w:val="24"/>
                <w:szCs w:val="24"/>
                <w:lang w:val="en-US" w:eastAsia="zh-CN"/>
              </w:rPr>
              <w:t>6</w:t>
            </w:r>
            <w:r>
              <w:rPr>
                <w:rFonts w:hint="eastAsia"/>
                <w:b/>
                <w:bCs/>
                <w:sz w:val="24"/>
                <w:szCs w:val="24"/>
              </w:rPr>
              <w:t>）排放口信息</w:t>
            </w:r>
          </w:p>
          <w:p>
            <w:pPr>
              <w:adjustRightInd w:val="0"/>
              <w:snapToGrid w:val="0"/>
              <w:spacing w:line="360" w:lineRule="auto"/>
              <w:ind w:firstLine="480" w:firstLineChars="200"/>
            </w:pPr>
            <w:r>
              <w:rPr>
                <w:rFonts w:hint="eastAsia"/>
                <w:sz w:val="24"/>
                <w:szCs w:val="24"/>
              </w:rPr>
              <w:t>本项目废气排放口信息详见下表：</w:t>
            </w:r>
          </w:p>
          <w:p>
            <w:pPr>
              <w:pStyle w:val="3"/>
              <w:spacing w:before="62" w:after="62"/>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eastAsia="宋体" w:cs="宋体"/>
                <w:b/>
                <w:bCs/>
                <w:sz w:val="24"/>
                <w:szCs w:val="24"/>
                <w:lang w:val="en-US" w:eastAsia="zh-CN"/>
              </w:rPr>
              <w:t>38</w:t>
            </w:r>
            <w:r>
              <w:rPr>
                <w:rFonts w:hint="eastAsia" w:ascii="宋体" w:hAnsi="宋体" w:eastAsia="宋体" w:cs="宋体"/>
                <w:b/>
                <w:bCs/>
                <w:sz w:val="24"/>
                <w:szCs w:val="24"/>
              </w:rPr>
              <w:t xml:space="preserve">   本项目废气排放口信息一览表</w:t>
            </w:r>
          </w:p>
          <w:tbl>
            <w:tblPr>
              <w:tblStyle w:val="25"/>
              <w:tblW w:w="81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138"/>
              <w:gridCol w:w="709"/>
              <w:gridCol w:w="709"/>
              <w:gridCol w:w="709"/>
              <w:gridCol w:w="850"/>
              <w:gridCol w:w="2126"/>
              <w:gridCol w:w="1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64" w:hRule="atLeast"/>
                <w:jc w:val="center"/>
              </w:trPr>
              <w:tc>
                <w:tcPr>
                  <w:tcW w:w="1138" w:type="dxa"/>
                  <w:tcBorders>
                    <w:top w:val="single" w:color="auto" w:sz="12" w:space="0"/>
                    <w:left w:val="nil"/>
                    <w:bottom w:val="single" w:color="auto" w:sz="4" w:space="0"/>
                    <w:right w:val="single" w:color="auto" w:sz="6" w:space="0"/>
                  </w:tcBorders>
                  <w:noWrap/>
                  <w:vAlign w:val="center"/>
                </w:tcPr>
                <w:p>
                  <w:pPr>
                    <w:pStyle w:val="10"/>
                    <w:spacing w:after="0"/>
                    <w:jc w:val="center"/>
                    <w:rPr>
                      <w:b/>
                      <w:bCs/>
                    </w:rPr>
                  </w:pPr>
                  <w:r>
                    <w:rPr>
                      <w:rFonts w:hint="eastAsia"/>
                      <w:b/>
                      <w:bCs/>
                    </w:rPr>
                    <w:t>排放口编号、名称</w:t>
                  </w:r>
                </w:p>
              </w:tc>
              <w:tc>
                <w:tcPr>
                  <w:tcW w:w="709" w:type="dxa"/>
                  <w:tcBorders>
                    <w:top w:val="single" w:color="auto" w:sz="12" w:space="0"/>
                    <w:left w:val="single" w:color="auto" w:sz="6" w:space="0"/>
                    <w:bottom w:val="single" w:color="auto" w:sz="4" w:space="0"/>
                    <w:right w:val="single" w:color="auto" w:sz="6" w:space="0"/>
                  </w:tcBorders>
                  <w:noWrap/>
                  <w:vAlign w:val="center"/>
                </w:tcPr>
                <w:p>
                  <w:pPr>
                    <w:pStyle w:val="10"/>
                    <w:spacing w:after="0"/>
                    <w:jc w:val="center"/>
                    <w:rPr>
                      <w:b/>
                      <w:bCs/>
                    </w:rPr>
                  </w:pPr>
                  <w:r>
                    <w:rPr>
                      <w:rFonts w:hint="eastAsia"/>
                      <w:b/>
                      <w:bCs/>
                    </w:rPr>
                    <w:t>高度</w:t>
                  </w:r>
                </w:p>
              </w:tc>
              <w:tc>
                <w:tcPr>
                  <w:tcW w:w="709" w:type="dxa"/>
                  <w:tcBorders>
                    <w:top w:val="single" w:color="auto" w:sz="12" w:space="0"/>
                    <w:left w:val="single" w:color="auto" w:sz="6" w:space="0"/>
                    <w:bottom w:val="single" w:color="auto" w:sz="4" w:space="0"/>
                    <w:right w:val="single" w:color="auto" w:sz="6" w:space="0"/>
                  </w:tcBorders>
                  <w:noWrap/>
                  <w:vAlign w:val="center"/>
                </w:tcPr>
                <w:p>
                  <w:pPr>
                    <w:pStyle w:val="10"/>
                    <w:spacing w:after="0"/>
                    <w:jc w:val="center"/>
                    <w:rPr>
                      <w:b/>
                      <w:bCs/>
                    </w:rPr>
                  </w:pPr>
                  <w:r>
                    <w:rPr>
                      <w:rFonts w:hint="eastAsia"/>
                      <w:b/>
                      <w:bCs/>
                    </w:rPr>
                    <w:t>内径</w:t>
                  </w:r>
                </w:p>
              </w:tc>
              <w:tc>
                <w:tcPr>
                  <w:tcW w:w="709" w:type="dxa"/>
                  <w:tcBorders>
                    <w:top w:val="single" w:color="auto" w:sz="12" w:space="0"/>
                    <w:left w:val="single" w:color="auto" w:sz="6" w:space="0"/>
                    <w:bottom w:val="single" w:color="auto" w:sz="4" w:space="0"/>
                    <w:right w:val="single" w:color="auto" w:sz="6" w:space="0"/>
                  </w:tcBorders>
                  <w:noWrap/>
                  <w:vAlign w:val="center"/>
                </w:tcPr>
                <w:p>
                  <w:pPr>
                    <w:pStyle w:val="10"/>
                    <w:spacing w:after="0"/>
                    <w:jc w:val="center"/>
                    <w:rPr>
                      <w:b/>
                      <w:bCs/>
                    </w:rPr>
                  </w:pPr>
                  <w:r>
                    <w:rPr>
                      <w:rFonts w:hint="eastAsia"/>
                      <w:b/>
                      <w:bCs/>
                    </w:rPr>
                    <w:t>温度</w:t>
                  </w:r>
                </w:p>
              </w:tc>
              <w:tc>
                <w:tcPr>
                  <w:tcW w:w="850" w:type="dxa"/>
                  <w:tcBorders>
                    <w:top w:val="single" w:color="auto" w:sz="12" w:space="0"/>
                    <w:left w:val="single" w:color="auto" w:sz="6" w:space="0"/>
                    <w:bottom w:val="single" w:color="auto" w:sz="4" w:space="0"/>
                    <w:right w:val="single" w:color="auto" w:sz="6" w:space="0"/>
                  </w:tcBorders>
                  <w:noWrap/>
                  <w:vAlign w:val="center"/>
                </w:tcPr>
                <w:p>
                  <w:pPr>
                    <w:pStyle w:val="10"/>
                    <w:spacing w:after="0"/>
                    <w:jc w:val="center"/>
                    <w:rPr>
                      <w:b/>
                      <w:bCs/>
                    </w:rPr>
                  </w:pPr>
                  <w:r>
                    <w:rPr>
                      <w:rFonts w:hint="eastAsia"/>
                      <w:b/>
                      <w:bCs/>
                    </w:rPr>
                    <w:t>排放口类型</w:t>
                  </w:r>
                </w:p>
              </w:tc>
              <w:tc>
                <w:tcPr>
                  <w:tcW w:w="2126" w:type="dxa"/>
                  <w:tcBorders>
                    <w:top w:val="single" w:color="auto" w:sz="12" w:space="0"/>
                    <w:left w:val="single" w:color="auto" w:sz="6" w:space="0"/>
                    <w:bottom w:val="single" w:color="auto" w:sz="4" w:space="0"/>
                    <w:right w:val="nil"/>
                  </w:tcBorders>
                  <w:noWrap/>
                  <w:vAlign w:val="center"/>
                </w:tcPr>
                <w:p>
                  <w:pPr>
                    <w:pStyle w:val="10"/>
                    <w:spacing w:after="0"/>
                    <w:jc w:val="center"/>
                    <w:rPr>
                      <w:b/>
                      <w:bCs/>
                    </w:rPr>
                  </w:pPr>
                  <w:r>
                    <w:rPr>
                      <w:rFonts w:hint="eastAsia"/>
                      <w:b/>
                      <w:bCs/>
                    </w:rPr>
                    <w:t>地理坐标</w:t>
                  </w:r>
                </w:p>
              </w:tc>
              <w:tc>
                <w:tcPr>
                  <w:tcW w:w="1935" w:type="dxa"/>
                  <w:tcBorders>
                    <w:top w:val="single" w:color="auto" w:sz="12" w:space="0"/>
                    <w:left w:val="single" w:color="auto" w:sz="6" w:space="0"/>
                    <w:bottom w:val="single" w:color="auto" w:sz="4" w:space="0"/>
                    <w:right w:val="nil"/>
                  </w:tcBorders>
                  <w:noWrap/>
                  <w:vAlign w:val="center"/>
                </w:tcPr>
                <w:p>
                  <w:pPr>
                    <w:pStyle w:val="10"/>
                    <w:spacing w:after="0"/>
                    <w:jc w:val="center"/>
                    <w:rPr>
                      <w:b/>
                      <w:bCs/>
                    </w:rPr>
                  </w:pPr>
                  <w:r>
                    <w:rPr>
                      <w:rFonts w:hint="eastAsia"/>
                      <w:b/>
                      <w:bCs/>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529" w:hRule="atLeast"/>
                <w:jc w:val="center"/>
              </w:trPr>
              <w:tc>
                <w:tcPr>
                  <w:tcW w:w="1138" w:type="dxa"/>
                  <w:tcBorders>
                    <w:top w:val="single" w:color="auto" w:sz="4" w:space="0"/>
                    <w:left w:val="nil"/>
                    <w:bottom w:val="single" w:color="auto" w:sz="4" w:space="0"/>
                    <w:right w:val="single" w:color="auto" w:sz="6" w:space="0"/>
                  </w:tcBorders>
                  <w:noWrap/>
                  <w:vAlign w:val="center"/>
                </w:tcPr>
                <w:p>
                  <w:pPr>
                    <w:pStyle w:val="10"/>
                    <w:spacing w:after="0"/>
                    <w:jc w:val="center"/>
                  </w:pPr>
                  <w:r>
                    <w:rPr>
                      <w:rFonts w:hint="eastAsia"/>
                    </w:rPr>
                    <w:t>DA001</w:t>
                  </w:r>
                </w:p>
                <w:p>
                  <w:pPr>
                    <w:pStyle w:val="10"/>
                    <w:spacing w:after="0"/>
                    <w:jc w:val="center"/>
                  </w:pPr>
                  <w:r>
                    <w:rPr>
                      <w:rFonts w:hint="eastAsia"/>
                    </w:rPr>
                    <w:t>排气筒</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15m</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0.3m</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常温</w:t>
                  </w:r>
                </w:p>
              </w:tc>
              <w:tc>
                <w:tcPr>
                  <w:tcW w:w="850"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一般排放口</w:t>
                  </w:r>
                </w:p>
              </w:tc>
              <w:tc>
                <w:tcPr>
                  <w:tcW w:w="2126" w:type="dxa"/>
                  <w:tcBorders>
                    <w:top w:val="single" w:color="auto" w:sz="4" w:space="0"/>
                    <w:left w:val="single" w:color="auto" w:sz="6" w:space="0"/>
                    <w:bottom w:val="single" w:color="auto" w:sz="4" w:space="0"/>
                    <w:right w:val="nil"/>
                  </w:tcBorders>
                  <w:noWrap/>
                  <w:vAlign w:val="center"/>
                </w:tcPr>
                <w:p>
                  <w:pPr>
                    <w:pStyle w:val="10"/>
                    <w:spacing w:after="0"/>
                    <w:jc w:val="center"/>
                  </w:pPr>
                  <w:r>
                    <w:rPr>
                      <w:rFonts w:hint="eastAsia"/>
                    </w:rPr>
                    <w:t>12</w:t>
                  </w:r>
                  <w:r>
                    <w:rPr>
                      <w:rFonts w:hint="eastAsia"/>
                      <w:lang w:val="en-US" w:eastAsia="zh-CN"/>
                    </w:rPr>
                    <w:t>2</w:t>
                  </w:r>
                  <w:r>
                    <w:rPr>
                      <w:rFonts w:hint="eastAsia"/>
                    </w:rPr>
                    <w:t>°</w:t>
                  </w:r>
                  <w:r>
                    <w:rPr>
                      <w:rFonts w:hint="eastAsia"/>
                      <w:lang w:val="en-US" w:eastAsia="zh-CN"/>
                    </w:rPr>
                    <w:t>52</w:t>
                  </w:r>
                  <w:r>
                    <w:rPr>
                      <w:rFonts w:hint="eastAsia"/>
                    </w:rPr>
                    <w:t>′</w:t>
                  </w:r>
                  <w:r>
                    <w:rPr>
                      <w:rFonts w:hint="eastAsia"/>
                      <w:lang w:val="en-US" w:eastAsia="zh-CN"/>
                    </w:rPr>
                    <w:t>52</w:t>
                  </w:r>
                  <w:r>
                    <w:rPr>
                      <w:rFonts w:hint="eastAsia"/>
                    </w:rPr>
                    <w:t>.</w:t>
                  </w:r>
                  <w:r>
                    <w:rPr>
                      <w:rFonts w:hint="eastAsia"/>
                      <w:lang w:val="en-US" w:eastAsia="zh-CN"/>
                    </w:rPr>
                    <w:t>41</w:t>
                  </w:r>
                  <w:r>
                    <w:rPr>
                      <w:rFonts w:hint="eastAsia"/>
                    </w:rPr>
                    <w:t>″E</w:t>
                  </w:r>
                </w:p>
                <w:p>
                  <w:pPr>
                    <w:pStyle w:val="10"/>
                    <w:spacing w:after="0"/>
                    <w:jc w:val="center"/>
                  </w:pPr>
                  <w:r>
                    <w:rPr>
                      <w:rFonts w:hint="eastAsia"/>
                    </w:rPr>
                    <w:t>45°</w:t>
                  </w:r>
                  <w:r>
                    <w:rPr>
                      <w:rFonts w:hint="eastAsia"/>
                      <w:lang w:val="en-US" w:eastAsia="zh-CN"/>
                    </w:rPr>
                    <w:t>34</w:t>
                  </w:r>
                  <w:r>
                    <w:rPr>
                      <w:rFonts w:hint="eastAsia"/>
                    </w:rPr>
                    <w:t>′</w:t>
                  </w:r>
                  <w:r>
                    <w:rPr>
                      <w:rFonts w:hint="eastAsia"/>
                      <w:lang w:val="en-US" w:eastAsia="zh-CN"/>
                    </w:rPr>
                    <w:t>58.65</w:t>
                  </w:r>
                  <w:r>
                    <w:rPr>
                      <w:rFonts w:hint="eastAsia"/>
                    </w:rPr>
                    <w:t>″N</w:t>
                  </w:r>
                </w:p>
              </w:tc>
              <w:tc>
                <w:tcPr>
                  <w:tcW w:w="1935" w:type="dxa"/>
                  <w:vMerge w:val="restart"/>
                  <w:tcBorders>
                    <w:top w:val="single" w:color="auto" w:sz="4" w:space="0"/>
                    <w:left w:val="single" w:color="auto" w:sz="6" w:space="0"/>
                    <w:right w:val="nil"/>
                  </w:tcBorders>
                  <w:noWrap/>
                  <w:vAlign w:val="center"/>
                </w:tcPr>
                <w:p>
                  <w:pPr>
                    <w:pStyle w:val="10"/>
                    <w:spacing w:after="0"/>
                    <w:jc w:val="center"/>
                  </w:pPr>
                  <w:r>
                    <w:rPr>
                      <w:rFonts w:hint="eastAsia"/>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529" w:hRule="atLeast"/>
                <w:jc w:val="center"/>
              </w:trPr>
              <w:tc>
                <w:tcPr>
                  <w:tcW w:w="1138" w:type="dxa"/>
                  <w:tcBorders>
                    <w:top w:val="single" w:color="auto" w:sz="4" w:space="0"/>
                    <w:left w:val="nil"/>
                    <w:bottom w:val="single" w:color="auto" w:sz="4" w:space="0"/>
                    <w:right w:val="single" w:color="auto" w:sz="6" w:space="0"/>
                  </w:tcBorders>
                  <w:noWrap/>
                  <w:vAlign w:val="center"/>
                </w:tcPr>
                <w:p>
                  <w:pPr>
                    <w:pStyle w:val="10"/>
                    <w:spacing w:after="0"/>
                    <w:jc w:val="center"/>
                  </w:pPr>
                  <w:r>
                    <w:rPr>
                      <w:rFonts w:hint="eastAsia"/>
                    </w:rPr>
                    <w:t>DA002</w:t>
                  </w:r>
                </w:p>
                <w:p>
                  <w:pPr>
                    <w:pStyle w:val="10"/>
                    <w:spacing w:after="0"/>
                    <w:jc w:val="center"/>
                  </w:pPr>
                  <w:r>
                    <w:rPr>
                      <w:rFonts w:hint="eastAsia"/>
                    </w:rPr>
                    <w:t>排气筒</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15m</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0.3m</w:t>
                  </w:r>
                </w:p>
              </w:tc>
              <w:tc>
                <w:tcPr>
                  <w:tcW w:w="709"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常温</w:t>
                  </w:r>
                </w:p>
              </w:tc>
              <w:tc>
                <w:tcPr>
                  <w:tcW w:w="850" w:type="dxa"/>
                  <w:tcBorders>
                    <w:top w:val="single" w:color="auto" w:sz="4" w:space="0"/>
                    <w:left w:val="single" w:color="auto" w:sz="6" w:space="0"/>
                    <w:bottom w:val="single" w:color="auto" w:sz="4" w:space="0"/>
                    <w:right w:val="single" w:color="auto" w:sz="6" w:space="0"/>
                  </w:tcBorders>
                  <w:noWrap/>
                  <w:vAlign w:val="center"/>
                </w:tcPr>
                <w:p>
                  <w:pPr>
                    <w:pStyle w:val="10"/>
                    <w:spacing w:after="0"/>
                    <w:jc w:val="center"/>
                  </w:pPr>
                  <w:r>
                    <w:rPr>
                      <w:rFonts w:hint="eastAsia"/>
                    </w:rPr>
                    <w:t>一般排放口</w:t>
                  </w:r>
                </w:p>
              </w:tc>
              <w:tc>
                <w:tcPr>
                  <w:tcW w:w="2126" w:type="dxa"/>
                  <w:tcBorders>
                    <w:top w:val="single" w:color="auto" w:sz="4" w:space="0"/>
                    <w:left w:val="single" w:color="auto" w:sz="6" w:space="0"/>
                    <w:bottom w:val="single" w:color="auto" w:sz="4" w:space="0"/>
                    <w:right w:val="nil"/>
                  </w:tcBorders>
                  <w:noWrap/>
                  <w:vAlign w:val="center"/>
                </w:tcPr>
                <w:p>
                  <w:pPr>
                    <w:pStyle w:val="10"/>
                    <w:spacing w:after="0"/>
                    <w:jc w:val="center"/>
                  </w:pPr>
                  <w:r>
                    <w:rPr>
                      <w:rFonts w:hint="eastAsia"/>
                    </w:rPr>
                    <w:t>12</w:t>
                  </w:r>
                  <w:r>
                    <w:rPr>
                      <w:rFonts w:hint="eastAsia"/>
                      <w:lang w:val="en-US" w:eastAsia="zh-CN"/>
                    </w:rPr>
                    <w:t>2</w:t>
                  </w:r>
                  <w:r>
                    <w:rPr>
                      <w:rFonts w:hint="eastAsia"/>
                    </w:rPr>
                    <w:t>°</w:t>
                  </w:r>
                  <w:r>
                    <w:rPr>
                      <w:rFonts w:hint="eastAsia"/>
                      <w:lang w:val="en-US" w:eastAsia="zh-CN"/>
                    </w:rPr>
                    <w:t>52</w:t>
                  </w:r>
                  <w:r>
                    <w:rPr>
                      <w:rFonts w:hint="eastAsia"/>
                    </w:rPr>
                    <w:t>′</w:t>
                  </w:r>
                  <w:r>
                    <w:rPr>
                      <w:rFonts w:hint="eastAsia"/>
                      <w:lang w:val="en-US" w:eastAsia="zh-CN"/>
                    </w:rPr>
                    <w:t>52</w:t>
                  </w:r>
                  <w:r>
                    <w:rPr>
                      <w:rFonts w:hint="eastAsia"/>
                    </w:rPr>
                    <w:t>.</w:t>
                  </w:r>
                  <w:r>
                    <w:rPr>
                      <w:rFonts w:hint="eastAsia"/>
                      <w:lang w:val="en-US" w:eastAsia="zh-CN"/>
                    </w:rPr>
                    <w:t>06</w:t>
                  </w:r>
                  <w:r>
                    <w:rPr>
                      <w:rFonts w:hint="eastAsia"/>
                    </w:rPr>
                    <w:t>″E</w:t>
                  </w:r>
                </w:p>
                <w:p>
                  <w:pPr>
                    <w:pStyle w:val="10"/>
                    <w:spacing w:after="0"/>
                    <w:jc w:val="center"/>
                    <w:rPr>
                      <w:rFonts w:asciiTheme="minorHAnsi" w:hAnsiTheme="minorHAnsi" w:eastAsiaTheme="minorEastAsia" w:cstheme="minorBidi"/>
                      <w:kern w:val="2"/>
                      <w:sz w:val="21"/>
                      <w:szCs w:val="24"/>
                      <w:lang w:val="en-US" w:eastAsia="zh-CN" w:bidi="ar-SA"/>
                    </w:rPr>
                  </w:pPr>
                  <w:r>
                    <w:rPr>
                      <w:rFonts w:hint="eastAsia"/>
                    </w:rPr>
                    <w:t>45°</w:t>
                  </w:r>
                  <w:r>
                    <w:rPr>
                      <w:rFonts w:hint="eastAsia"/>
                      <w:lang w:val="en-US" w:eastAsia="zh-CN"/>
                    </w:rPr>
                    <w:t>34</w:t>
                  </w:r>
                  <w:r>
                    <w:rPr>
                      <w:rFonts w:hint="eastAsia"/>
                    </w:rPr>
                    <w:t>′</w:t>
                  </w:r>
                  <w:r>
                    <w:rPr>
                      <w:rFonts w:hint="eastAsia"/>
                      <w:lang w:val="en-US" w:eastAsia="zh-CN"/>
                    </w:rPr>
                    <w:t>59.37</w:t>
                  </w:r>
                  <w:r>
                    <w:rPr>
                      <w:rFonts w:hint="eastAsia"/>
                    </w:rPr>
                    <w:t>″N</w:t>
                  </w:r>
                </w:p>
              </w:tc>
              <w:tc>
                <w:tcPr>
                  <w:tcW w:w="1935" w:type="dxa"/>
                  <w:vMerge w:val="continue"/>
                  <w:tcBorders>
                    <w:top w:val="single" w:color="auto" w:sz="4" w:space="0"/>
                    <w:left w:val="single" w:color="auto" w:sz="6" w:space="0"/>
                    <w:right w:val="nil"/>
                  </w:tcBorders>
                  <w:noWrap/>
                  <w:vAlign w:val="center"/>
                </w:tcPr>
                <w:p>
                  <w:pPr>
                    <w:pStyle w:val="10"/>
                    <w:spacing w:after="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64" w:hRule="atLeast"/>
                <w:jc w:val="center"/>
              </w:trPr>
              <w:tc>
                <w:tcPr>
                  <w:tcW w:w="1138" w:type="dxa"/>
                  <w:tcBorders>
                    <w:top w:val="single" w:color="auto" w:sz="4" w:space="0"/>
                    <w:left w:val="nil"/>
                    <w:bottom w:val="single" w:color="auto" w:sz="12" w:space="0"/>
                    <w:right w:val="single" w:color="auto" w:sz="6" w:space="0"/>
                  </w:tcBorders>
                  <w:noWrap/>
                  <w:vAlign w:val="center"/>
                </w:tcPr>
                <w:p>
                  <w:pPr>
                    <w:pStyle w:val="10"/>
                    <w:spacing w:after="0"/>
                    <w:jc w:val="center"/>
                  </w:pPr>
                  <w:r>
                    <w:rPr>
                      <w:rFonts w:hint="eastAsia"/>
                    </w:rPr>
                    <w:t>厂界</w:t>
                  </w:r>
                </w:p>
              </w:tc>
              <w:tc>
                <w:tcPr>
                  <w:tcW w:w="5103" w:type="dxa"/>
                  <w:gridSpan w:val="5"/>
                  <w:tcBorders>
                    <w:top w:val="single" w:color="auto" w:sz="4" w:space="0"/>
                    <w:left w:val="single" w:color="auto" w:sz="6" w:space="0"/>
                    <w:bottom w:val="single" w:color="auto" w:sz="12" w:space="0"/>
                    <w:right w:val="nil"/>
                  </w:tcBorders>
                  <w:noWrap/>
                  <w:vAlign w:val="center"/>
                </w:tcPr>
                <w:p>
                  <w:pPr>
                    <w:pStyle w:val="10"/>
                    <w:spacing w:after="0"/>
                    <w:jc w:val="center"/>
                  </w:pPr>
                  <w:r>
                    <w:t>厂界</w:t>
                  </w:r>
                  <w:r>
                    <w:rPr>
                      <w:rFonts w:hint="eastAsia"/>
                    </w:rPr>
                    <w:t>（无组织）</w:t>
                  </w:r>
                </w:p>
              </w:tc>
              <w:tc>
                <w:tcPr>
                  <w:tcW w:w="1935" w:type="dxa"/>
                  <w:vMerge w:val="continue"/>
                  <w:tcBorders>
                    <w:left w:val="single" w:color="auto" w:sz="6" w:space="0"/>
                    <w:bottom w:val="single" w:color="auto" w:sz="12" w:space="0"/>
                    <w:right w:val="nil"/>
                  </w:tcBorders>
                  <w:noWrap/>
                  <w:vAlign w:val="center"/>
                </w:tcPr>
                <w:p>
                  <w:pPr>
                    <w:pStyle w:val="10"/>
                    <w:spacing w:after="0"/>
                    <w:jc w:val="center"/>
                  </w:pPr>
                </w:p>
              </w:tc>
            </w:tr>
          </w:tbl>
          <w:p>
            <w:pPr>
              <w:adjustRightInd w:val="0"/>
              <w:snapToGrid w:val="0"/>
              <w:ind w:firstLine="420" w:firstLineChars="200"/>
            </w:pPr>
          </w:p>
          <w:p>
            <w:pPr>
              <w:adjustRightInd w:val="0"/>
              <w:snapToGrid w:val="0"/>
              <w:spacing w:line="360" w:lineRule="auto"/>
              <w:ind w:firstLine="480" w:firstLineChars="200"/>
              <w:rPr>
                <w:sz w:val="24"/>
                <w:szCs w:val="24"/>
              </w:rPr>
            </w:pPr>
            <w:r>
              <w:rPr>
                <w:rFonts w:hint="eastAsia"/>
                <w:sz w:val="24"/>
                <w:szCs w:val="24"/>
              </w:rPr>
              <w:t>本项目共计设有2个废气有组织排放口，排放口高度均为15m，本项目排气筒周围200m范围内主要为本项目办公室，办公楼高度约为6m，本项目有组织废气排放口高度满足高于排气筒周围200m范围内最高建筑5m以上的要求，符合《大气污染物综合排放标准》（GB16297-1996）中标准要求。</w:t>
            </w:r>
          </w:p>
          <w:p>
            <w:pPr>
              <w:adjustRightInd w:val="0"/>
              <w:snapToGrid w:val="0"/>
              <w:spacing w:line="360" w:lineRule="auto"/>
              <w:ind w:firstLine="482" w:firstLineChars="200"/>
              <w:rPr>
                <w:b/>
                <w:bCs/>
                <w:sz w:val="24"/>
                <w:szCs w:val="24"/>
              </w:rPr>
            </w:pPr>
            <w:r>
              <w:rPr>
                <w:rFonts w:hint="eastAsia"/>
                <w:b/>
                <w:bCs/>
                <w:sz w:val="24"/>
                <w:szCs w:val="24"/>
              </w:rPr>
              <w:t>（</w:t>
            </w:r>
            <w:r>
              <w:rPr>
                <w:rFonts w:hint="eastAsia"/>
                <w:b/>
                <w:bCs/>
                <w:sz w:val="24"/>
                <w:szCs w:val="24"/>
                <w:lang w:val="en-US" w:eastAsia="zh-CN"/>
              </w:rPr>
              <w:t>7</w:t>
            </w:r>
            <w:r>
              <w:rPr>
                <w:rFonts w:hint="eastAsia"/>
                <w:b/>
                <w:bCs/>
                <w:sz w:val="24"/>
                <w:szCs w:val="24"/>
              </w:rPr>
              <w:t>）大气环境影响分析</w:t>
            </w:r>
          </w:p>
          <w:p>
            <w:pPr>
              <w:adjustRightInd w:val="0"/>
              <w:snapToGrid w:val="0"/>
              <w:spacing w:line="360" w:lineRule="auto"/>
              <w:ind w:firstLine="480" w:firstLineChars="200"/>
              <w:rPr>
                <w:sz w:val="24"/>
                <w:szCs w:val="24"/>
              </w:rPr>
            </w:pPr>
            <w:r>
              <w:rPr>
                <w:rFonts w:hint="eastAsia"/>
                <w:sz w:val="24"/>
                <w:szCs w:val="24"/>
              </w:rPr>
              <w:t>本项目报废农机拆解</w:t>
            </w:r>
            <w:r>
              <w:rPr>
                <w:rFonts w:hint="eastAsia"/>
                <w:sz w:val="24"/>
                <w:szCs w:val="24"/>
                <w:lang w:eastAsia="zh-CN"/>
              </w:rPr>
              <w:t>及废机油储存</w:t>
            </w:r>
            <w:r>
              <w:rPr>
                <w:rFonts w:hint="eastAsia"/>
                <w:sz w:val="24"/>
                <w:szCs w:val="24"/>
              </w:rPr>
              <w:t>主要废气污染物为非甲烷总烃和颗粒物。本项目针对非甲烷总烃，采用“集气罩+活性炭吸附装置+15m排气筒”技术进行废气处理；针对</w:t>
            </w:r>
            <w:r>
              <w:rPr>
                <w:rFonts w:hint="eastAsia"/>
                <w:sz w:val="24"/>
                <w:szCs w:val="24"/>
                <w:lang w:eastAsia="zh-CN"/>
              </w:rPr>
              <w:t>切割及压块</w:t>
            </w:r>
            <w:r>
              <w:rPr>
                <w:rFonts w:hint="eastAsia"/>
                <w:sz w:val="24"/>
                <w:szCs w:val="24"/>
              </w:rPr>
              <w:t>工艺粉尘采用“集气罩+袋式除尘器+15m高排气筒”技术进行处理，以上处理技术均符合《排污许可证申请与核发技术规范 废弃资源加工工业》（HJ1034-2019）</w:t>
            </w:r>
            <w:r>
              <w:rPr>
                <w:sz w:val="24"/>
                <w:szCs w:val="24"/>
              </w:rPr>
              <w:t>中可行技术要求</w:t>
            </w:r>
            <w:r>
              <w:rPr>
                <w:rFonts w:hint="eastAsia"/>
                <w:sz w:val="24"/>
                <w:szCs w:val="24"/>
              </w:rPr>
              <w:t>，经上述措施处理后，本项目有组织废气污染物排放浓度可以满足《大气污染物综合排放标准》（GB16297-1996）中表2标准要求（非甲烷总烃：120mg/m</w:t>
            </w:r>
            <w:r>
              <w:rPr>
                <w:rFonts w:hint="eastAsia"/>
                <w:sz w:val="24"/>
                <w:szCs w:val="24"/>
                <w:vertAlign w:val="superscript"/>
              </w:rPr>
              <w:t>3</w:t>
            </w:r>
            <w:r>
              <w:rPr>
                <w:rFonts w:hint="eastAsia"/>
                <w:sz w:val="24"/>
                <w:szCs w:val="24"/>
              </w:rPr>
              <w:t>；颗粒物：120mg/m</w:t>
            </w:r>
            <w:r>
              <w:rPr>
                <w:rFonts w:hint="eastAsia"/>
                <w:sz w:val="24"/>
                <w:szCs w:val="24"/>
                <w:vertAlign w:val="superscript"/>
              </w:rPr>
              <w:t>3</w:t>
            </w:r>
            <w:r>
              <w:rPr>
                <w:rFonts w:hint="eastAsia"/>
                <w:sz w:val="24"/>
                <w:szCs w:val="24"/>
              </w:rPr>
              <w:t>）。针对无组织废气，采取封闭式拆解车间，并针对车间安装排风扇，加强排风等措施，无组织颗粒物和非甲烷总烃排放量</w:t>
            </w:r>
            <w:r>
              <w:rPr>
                <w:rFonts w:hint="eastAsia"/>
                <w:sz w:val="24"/>
                <w:szCs w:val="24"/>
                <w:lang w:val="en-US" w:eastAsia="zh-CN"/>
              </w:rPr>
              <w:t>极少</w:t>
            </w:r>
            <w:r>
              <w:rPr>
                <w:rFonts w:hint="eastAsia"/>
                <w:sz w:val="24"/>
                <w:szCs w:val="24"/>
              </w:rPr>
              <w:t>，对周边环境影响较小。</w:t>
            </w:r>
          </w:p>
          <w:p>
            <w:pPr>
              <w:adjustRightInd w:val="0"/>
              <w:snapToGrid w:val="0"/>
              <w:spacing w:line="360" w:lineRule="auto"/>
              <w:rPr>
                <w:sz w:val="24"/>
                <w:szCs w:val="24"/>
              </w:rPr>
            </w:pPr>
            <w:r>
              <w:rPr>
                <w:rFonts w:hint="eastAsia"/>
                <w:sz w:val="24"/>
                <w:szCs w:val="24"/>
              </w:rPr>
              <w:t xml:space="preserve">    综上，本项目运营期对周边大气环境和周边保护目标影响较小。</w:t>
            </w:r>
          </w:p>
          <w:p>
            <w:pPr>
              <w:adjustRightInd w:val="0"/>
              <w:snapToGrid w:val="0"/>
              <w:spacing w:line="360" w:lineRule="auto"/>
              <w:ind w:firstLine="480"/>
              <w:rPr>
                <w:b/>
                <w:bCs/>
                <w:sz w:val="24"/>
                <w:szCs w:val="24"/>
              </w:rPr>
            </w:pPr>
            <w:r>
              <w:rPr>
                <w:rFonts w:hint="eastAsia"/>
                <w:b/>
                <w:bCs/>
                <w:sz w:val="24"/>
                <w:szCs w:val="24"/>
              </w:rPr>
              <w:t>（</w:t>
            </w:r>
            <w:r>
              <w:rPr>
                <w:rFonts w:hint="eastAsia"/>
                <w:b/>
                <w:bCs/>
                <w:sz w:val="24"/>
                <w:szCs w:val="24"/>
                <w:lang w:val="en-US" w:eastAsia="zh-CN"/>
              </w:rPr>
              <w:t>8</w:t>
            </w:r>
            <w:r>
              <w:rPr>
                <w:rFonts w:hint="eastAsia"/>
                <w:b/>
                <w:bCs/>
                <w:sz w:val="24"/>
                <w:szCs w:val="24"/>
              </w:rPr>
              <w:t>）本项目运营期对周边企业影响分析</w:t>
            </w:r>
          </w:p>
          <w:p>
            <w:pPr>
              <w:adjustRightInd w:val="0"/>
              <w:snapToGrid w:val="0"/>
              <w:spacing w:line="360" w:lineRule="auto"/>
              <w:ind w:firstLine="480"/>
              <w:rPr>
                <w:rFonts w:hint="eastAsia"/>
                <w:sz w:val="24"/>
                <w:szCs w:val="24"/>
              </w:rPr>
            </w:pPr>
            <w:r>
              <w:rPr>
                <w:rFonts w:hint="eastAsia"/>
                <w:sz w:val="24"/>
                <w:szCs w:val="24"/>
              </w:rPr>
              <w:t>本项目废气污染物主要为工艺粉尘和挥发性有机物（</w:t>
            </w:r>
            <w:r>
              <w:rPr>
                <w:rFonts w:hint="eastAsia"/>
                <w:sz w:val="24"/>
                <w:szCs w:val="24"/>
                <w:lang w:eastAsia="zh-CN"/>
              </w:rPr>
              <w:t>废机油等油液</w:t>
            </w:r>
            <w:r>
              <w:rPr>
                <w:rFonts w:hint="eastAsia"/>
                <w:sz w:val="24"/>
                <w:szCs w:val="24"/>
              </w:rPr>
              <w:t>挥发性较强的有机液体，以非甲烷总烃计），均不属于《有毒有害大气污染物名录（2018年）》中的有毒有害污染物，不涉及重金属或难降解类污染物，通</w:t>
            </w:r>
            <w:r>
              <w:rPr>
                <w:rFonts w:hint="default" w:asciiTheme="minorAscii" w:hAnsiTheme="minorAscii" w:eastAsiaTheme="minorEastAsia"/>
                <w:spacing w:val="-6"/>
                <w:sz w:val="24"/>
                <w:szCs w:val="24"/>
              </w:rPr>
              <w:t>过采取相应污染防治设施均可实现达标排放，对大气环境影响在可接受范围内</w:t>
            </w:r>
            <w:r>
              <w:rPr>
                <w:rFonts w:hint="eastAsia"/>
                <w:sz w:val="24"/>
                <w:szCs w:val="24"/>
              </w:rPr>
              <w:t>。</w:t>
            </w:r>
          </w:p>
          <w:p>
            <w:pPr>
              <w:adjustRightInd w:val="0"/>
              <w:snapToGrid w:val="0"/>
              <w:spacing w:line="360" w:lineRule="auto"/>
              <w:ind w:firstLine="482" w:firstLineChars="200"/>
              <w:rPr>
                <w:sz w:val="24"/>
                <w:szCs w:val="24"/>
              </w:rPr>
            </w:pPr>
            <w:r>
              <w:rPr>
                <w:rFonts w:hint="eastAsia"/>
                <w:b/>
                <w:bCs/>
                <w:sz w:val="24"/>
                <w:szCs w:val="24"/>
                <w:lang w:eastAsia="zh-CN"/>
              </w:rPr>
              <w:t>（</w:t>
            </w:r>
            <w:r>
              <w:rPr>
                <w:rFonts w:hint="eastAsia"/>
                <w:b/>
                <w:bCs/>
                <w:sz w:val="24"/>
                <w:szCs w:val="24"/>
                <w:lang w:val="en-US" w:eastAsia="zh-CN"/>
              </w:rPr>
              <w:t>9</w:t>
            </w:r>
            <w:r>
              <w:rPr>
                <w:rFonts w:hint="eastAsia"/>
                <w:b/>
                <w:bCs/>
                <w:sz w:val="24"/>
                <w:szCs w:val="24"/>
                <w:lang w:eastAsia="zh-CN"/>
              </w:rPr>
              <w:t>）</w:t>
            </w:r>
            <w:r>
              <w:rPr>
                <w:b/>
                <w:bCs/>
                <w:sz w:val="24"/>
                <w:szCs w:val="24"/>
              </w:rPr>
              <w:t>达标排放可行性分析</w:t>
            </w:r>
          </w:p>
          <w:p>
            <w:pPr>
              <w:adjustRightInd w:val="0"/>
              <w:snapToGrid w:val="0"/>
              <w:spacing w:line="360" w:lineRule="auto"/>
              <w:ind w:firstLine="480" w:firstLineChars="200"/>
              <w:rPr>
                <w:sz w:val="24"/>
                <w:szCs w:val="24"/>
              </w:rPr>
            </w:pPr>
            <w:r>
              <w:rPr>
                <w:sz w:val="24"/>
                <w:szCs w:val="24"/>
              </w:rPr>
              <w:t>本项目</w:t>
            </w:r>
            <w:r>
              <w:rPr>
                <w:rFonts w:hint="eastAsia"/>
                <w:sz w:val="24"/>
                <w:szCs w:val="24"/>
              </w:rPr>
              <w:t>废机油存储</w:t>
            </w:r>
            <w:r>
              <w:rPr>
                <w:sz w:val="24"/>
                <w:szCs w:val="24"/>
              </w:rPr>
              <w:t>非甲烷总烃排放量为</w:t>
            </w:r>
            <w:r>
              <w:rPr>
                <w:rFonts w:hint="eastAsia"/>
                <w:sz w:val="24"/>
                <w:szCs w:val="24"/>
              </w:rPr>
              <w:t>0.00158</w:t>
            </w:r>
            <w:r>
              <w:rPr>
                <w:sz w:val="24"/>
                <w:szCs w:val="24"/>
              </w:rPr>
              <w:t>kg/h（</w:t>
            </w:r>
            <w:r>
              <w:rPr>
                <w:rFonts w:hint="eastAsia"/>
                <w:sz w:val="24"/>
                <w:szCs w:val="24"/>
              </w:rPr>
              <w:t>0.0038</w:t>
            </w:r>
            <w:r>
              <w:rPr>
                <w:sz w:val="24"/>
                <w:szCs w:val="24"/>
              </w:rPr>
              <w:t>t/a），排放浓度为</w:t>
            </w:r>
            <w:r>
              <w:rPr>
                <w:rFonts w:hint="eastAsia"/>
                <w:sz w:val="24"/>
                <w:szCs w:val="24"/>
              </w:rPr>
              <w:t>0.17</w:t>
            </w:r>
            <w:r>
              <w:rPr>
                <w:sz w:val="24"/>
                <w:szCs w:val="24"/>
              </w:rPr>
              <w:t>mg/m</w:t>
            </w:r>
            <w:r>
              <w:rPr>
                <w:sz w:val="24"/>
                <w:szCs w:val="24"/>
                <w:vertAlign w:val="superscript"/>
              </w:rPr>
              <w:t>3</w:t>
            </w:r>
            <w:r>
              <w:rPr>
                <w:sz w:val="24"/>
                <w:szCs w:val="24"/>
              </w:rPr>
              <w:t>。</w:t>
            </w:r>
            <w:r>
              <w:rPr>
                <w:rFonts w:hint="eastAsia"/>
                <w:sz w:val="24"/>
                <w:szCs w:val="24"/>
              </w:rPr>
              <w:t>拆解车间预处理废气产生的非甲烷总烃排放量</w:t>
            </w:r>
            <w:r>
              <w:rPr>
                <w:sz w:val="24"/>
                <w:szCs w:val="24"/>
              </w:rPr>
              <w:t>为</w:t>
            </w:r>
            <w:r>
              <w:rPr>
                <w:rFonts w:hint="eastAsia"/>
                <w:sz w:val="24"/>
                <w:szCs w:val="24"/>
              </w:rPr>
              <w:t>0.0046</w:t>
            </w:r>
            <w:r>
              <w:rPr>
                <w:sz w:val="24"/>
                <w:szCs w:val="24"/>
              </w:rPr>
              <w:t>kg/h（</w:t>
            </w:r>
            <w:r>
              <w:rPr>
                <w:rFonts w:hint="eastAsia"/>
                <w:sz w:val="24"/>
                <w:szCs w:val="24"/>
              </w:rPr>
              <w:t>0.039</w:t>
            </w:r>
            <w:r>
              <w:rPr>
                <w:sz w:val="24"/>
                <w:szCs w:val="24"/>
              </w:rPr>
              <w:t>t/a），排放浓度为</w:t>
            </w:r>
            <w:r>
              <w:rPr>
                <w:rFonts w:hint="eastAsia"/>
                <w:sz w:val="24"/>
                <w:szCs w:val="24"/>
              </w:rPr>
              <w:t>0.92</w:t>
            </w:r>
            <w:r>
              <w:rPr>
                <w:sz w:val="24"/>
                <w:szCs w:val="24"/>
              </w:rPr>
              <w:t>mg/m</w:t>
            </w:r>
            <w:r>
              <w:rPr>
                <w:sz w:val="24"/>
                <w:szCs w:val="24"/>
                <w:vertAlign w:val="superscript"/>
              </w:rPr>
              <w:t>3</w:t>
            </w:r>
            <w:r>
              <w:rPr>
                <w:sz w:val="24"/>
                <w:szCs w:val="24"/>
              </w:rPr>
              <w:t>。根据《排污许可证申请与核发技术规范 工业固体废物和危险废物治理》（HJ1033-2019）</w:t>
            </w:r>
            <w:r>
              <w:rPr>
                <w:rFonts w:hint="eastAsia"/>
                <w:sz w:val="24"/>
                <w:szCs w:val="24"/>
              </w:rPr>
              <w:t>、</w:t>
            </w:r>
            <w:r>
              <w:rPr>
                <w:sz w:val="24"/>
                <w:szCs w:val="24"/>
              </w:rPr>
              <w:t>《挥发性有机物污染防治技术政策》</w:t>
            </w:r>
            <w:r>
              <w:rPr>
                <w:rFonts w:hint="eastAsia"/>
                <w:sz w:val="24"/>
                <w:szCs w:val="24"/>
              </w:rPr>
              <w:t>“二、源头和过程控制2.油类（燃油、溶剂等）储罐宜采用高效密封的内（外）浮顶罐，当采用固定顶罐时，通过密闭排气系统将含VOCs气体输送至回收设备”</w:t>
            </w:r>
            <w:r>
              <w:rPr>
                <w:sz w:val="24"/>
                <w:szCs w:val="24"/>
              </w:rPr>
              <w:t>、《挥发性有机物无组织排放控制标准》</w:t>
            </w:r>
            <w:r>
              <w:rPr>
                <w:rFonts w:hint="eastAsia"/>
                <w:sz w:val="24"/>
                <w:szCs w:val="24"/>
              </w:rPr>
              <w:t>（GB 37822-2019）“液态VOCs物料应采用密闭管道输送方式或采用高位槽（罐）、桶泵等给料方式密闭投加。无法密闭投加的，应在密闭空间内操作，或进行局部气体收集，废气应排至VOCs废气收集处理系统”</w:t>
            </w:r>
            <w:r>
              <w:rPr>
                <w:sz w:val="24"/>
                <w:szCs w:val="24"/>
              </w:rPr>
              <w:t>、《2020年挥发性有机物治理攻坚方案》</w:t>
            </w:r>
            <w:r>
              <w:rPr>
                <w:rFonts w:hint="eastAsia"/>
                <w:sz w:val="24"/>
                <w:szCs w:val="24"/>
              </w:rPr>
              <w:t>“生产和使用环节应采用密闭设备，或在密闭空间中操作并有效收集废气，或进行局部气体收集”</w:t>
            </w:r>
            <w:r>
              <w:rPr>
                <w:sz w:val="24"/>
                <w:szCs w:val="24"/>
              </w:rPr>
              <w:t>，</w:t>
            </w:r>
            <w:r>
              <w:rPr>
                <w:rFonts w:hint="eastAsia"/>
                <w:sz w:val="24"/>
                <w:szCs w:val="24"/>
              </w:rPr>
              <w:t>本项目采用“</w:t>
            </w:r>
            <w:r>
              <w:rPr>
                <w:rFonts w:hint="eastAsia"/>
                <w:sz w:val="24"/>
                <w:szCs w:val="24"/>
                <w:lang w:eastAsia="zh-CN"/>
              </w:rPr>
              <w:t>集气罩</w:t>
            </w:r>
            <w:r>
              <w:rPr>
                <w:rFonts w:hint="eastAsia"/>
                <w:sz w:val="24"/>
                <w:szCs w:val="24"/>
                <w:lang w:val="en-US" w:eastAsia="zh-CN"/>
              </w:rPr>
              <w:t>+</w:t>
            </w:r>
            <w:r>
              <w:rPr>
                <w:rFonts w:hint="eastAsia"/>
                <w:sz w:val="24"/>
                <w:szCs w:val="24"/>
              </w:rPr>
              <w:t>活性炭处理装置+15m排气筒”</w:t>
            </w:r>
            <w:r>
              <w:rPr>
                <w:sz w:val="24"/>
                <w:szCs w:val="24"/>
              </w:rPr>
              <w:t>排放方式可行</w:t>
            </w:r>
            <w:r>
              <w:rPr>
                <w:rFonts w:hint="eastAsia"/>
                <w:sz w:val="24"/>
                <w:szCs w:val="24"/>
              </w:rPr>
              <w:t>，且</w:t>
            </w:r>
            <w:r>
              <w:rPr>
                <w:sz w:val="24"/>
                <w:szCs w:val="24"/>
              </w:rPr>
              <w:t>非甲烷总烃排放浓度《大气污染物综合排放标准》（GB16297-1996）中表2中排放限值要求。</w:t>
            </w:r>
          </w:p>
          <w:p>
            <w:pPr>
              <w:adjustRightInd w:val="0"/>
              <w:snapToGrid w:val="0"/>
              <w:spacing w:line="360" w:lineRule="auto"/>
              <w:ind w:firstLine="456" w:firstLineChars="200"/>
              <w:rPr>
                <w:rFonts w:hint="eastAsia" w:ascii="宋体" w:hAnsi="宋体" w:eastAsia="宋体" w:cs="宋体"/>
                <w:color w:val="auto"/>
                <w:spacing w:val="-6"/>
                <w:kern w:val="0"/>
                <w:sz w:val="24"/>
                <w:szCs w:val="24"/>
                <w:u w:val="none"/>
                <w:lang w:val="en-US" w:eastAsia="zh-CN" w:bidi="ar"/>
              </w:rPr>
            </w:pPr>
            <w:r>
              <w:rPr>
                <w:rFonts w:hint="eastAsia" w:ascii="宋体" w:hAnsi="宋体" w:eastAsia="宋体" w:cs="宋体"/>
                <w:color w:val="auto"/>
                <w:spacing w:val="-6"/>
                <w:kern w:val="0"/>
                <w:sz w:val="24"/>
                <w:szCs w:val="24"/>
                <w:u w:val="none"/>
                <w:lang w:val="en-US" w:eastAsia="zh-CN" w:bidi="ar"/>
              </w:rPr>
              <w:t>本项目有组织废气颗粒物排放浓度为0.6mg/m³，排放速率为0.003kg/h，项目污染物排放浓度、排放速率均满足《大气污染物综合排放标准》（GB16297-1996）中表2新污染源大气污染物排放限值要求。</w:t>
            </w:r>
          </w:p>
          <w:p>
            <w:pPr>
              <w:adjustRightInd w:val="0"/>
              <w:snapToGrid w:val="0"/>
              <w:spacing w:line="360" w:lineRule="auto"/>
              <w:ind w:firstLine="456" w:firstLineChars="200"/>
              <w:rPr>
                <w:rFonts w:hint="eastAsia"/>
                <w:sz w:val="24"/>
                <w:szCs w:val="24"/>
              </w:rPr>
            </w:pPr>
            <w:r>
              <w:rPr>
                <w:rFonts w:hint="eastAsia" w:ascii="宋体" w:hAnsi="宋体" w:eastAsia="宋体" w:cs="宋体"/>
                <w:color w:val="auto"/>
                <w:spacing w:val="-6"/>
                <w:kern w:val="0"/>
                <w:sz w:val="24"/>
                <w:szCs w:val="24"/>
                <w:u w:val="none"/>
                <w:lang w:val="en-US" w:eastAsia="zh-CN" w:bidi="ar"/>
              </w:rPr>
              <w:t>在采取规范操作、车间自然降沉及加强通风换气等措施后，本项目无组织排放污染物可得到有效控制，经扩散后厂界颗粒物、非甲烷总烃排放浓度满足《大气污染物综合排放标准》（GB16297-1996） 中表2新污染源大气污染物无组织排放限值要求；厂内无组织非甲烷总烃执行《挥发性有机物无组织排放控制标准》(GB37822-2019)中特别排放限值要求。</w:t>
            </w:r>
          </w:p>
          <w:p>
            <w:pPr>
              <w:adjustRightInd w:val="0"/>
              <w:snapToGrid w:val="0"/>
              <w:spacing w:line="360" w:lineRule="auto"/>
              <w:ind w:firstLine="480"/>
              <w:rPr>
                <w:b/>
                <w:bCs/>
                <w:sz w:val="24"/>
                <w:szCs w:val="24"/>
              </w:rPr>
            </w:pPr>
            <w:r>
              <w:rPr>
                <w:rFonts w:hint="eastAsia"/>
                <w:b/>
                <w:bCs/>
                <w:sz w:val="24"/>
                <w:szCs w:val="24"/>
              </w:rPr>
              <w:t>（</w:t>
            </w:r>
            <w:r>
              <w:rPr>
                <w:rFonts w:hint="eastAsia"/>
                <w:b/>
                <w:bCs/>
                <w:sz w:val="24"/>
                <w:szCs w:val="24"/>
                <w:lang w:val="en-US" w:eastAsia="zh-CN"/>
              </w:rPr>
              <w:t>10</w:t>
            </w:r>
            <w:r>
              <w:rPr>
                <w:rFonts w:hint="eastAsia"/>
                <w:b/>
                <w:bCs/>
                <w:sz w:val="24"/>
                <w:szCs w:val="24"/>
              </w:rPr>
              <w:t>）非正常工况影响分析</w:t>
            </w:r>
          </w:p>
          <w:p>
            <w:pPr>
              <w:pStyle w:val="10"/>
              <w:spacing w:after="0" w:line="360" w:lineRule="auto"/>
              <w:ind w:firstLine="480" w:firstLineChars="200"/>
              <w:rPr>
                <w:sz w:val="24"/>
                <w:szCs w:val="24"/>
              </w:rPr>
            </w:pPr>
            <w:r>
              <w:rPr>
                <w:rFonts w:hint="eastAsia"/>
                <w:sz w:val="24"/>
                <w:szCs w:val="24"/>
              </w:rPr>
              <w:t>本项目在污染防治设施正常运行情况下对周边环境影响较小。本项目主</w:t>
            </w:r>
            <w:r>
              <w:rPr>
                <w:rFonts w:hint="default" w:asciiTheme="minorAscii" w:hAnsiTheme="minorAscii" w:eastAsiaTheme="minorEastAsia"/>
                <w:spacing w:val="-6"/>
                <w:sz w:val="24"/>
                <w:szCs w:val="24"/>
              </w:rPr>
              <w:t>要非正常工况为袋式除尘器或活性炭吸附装置发生故障，导致污染物超标排</w:t>
            </w:r>
            <w:r>
              <w:rPr>
                <w:rFonts w:hint="eastAsia"/>
                <w:sz w:val="24"/>
                <w:szCs w:val="24"/>
              </w:rPr>
              <w:t>放。</w:t>
            </w:r>
          </w:p>
          <w:p>
            <w:pPr>
              <w:spacing w:line="360" w:lineRule="auto"/>
              <w:ind w:firstLine="480" w:firstLineChars="200"/>
              <w:outlineLvl w:val="0"/>
              <w:rPr>
                <w:rFonts w:hint="eastAsia"/>
                <w:sz w:val="24"/>
                <w:szCs w:val="24"/>
              </w:rPr>
            </w:pPr>
            <w:r>
              <w:rPr>
                <w:rFonts w:hint="eastAsia"/>
                <w:sz w:val="24"/>
                <w:szCs w:val="24"/>
              </w:rPr>
              <w:t>非正常工况下，拟定污染物排放持续2个小时，则本项目废气排放情况详见下表：</w:t>
            </w:r>
          </w:p>
          <w:p>
            <w:pPr>
              <w:pStyle w:val="10"/>
              <w:spacing w:after="0" w:line="360" w:lineRule="auto"/>
              <w:jc w:val="center"/>
              <w:rPr>
                <w:b/>
                <w:bCs/>
                <w:sz w:val="24"/>
                <w:szCs w:val="24"/>
              </w:rPr>
            </w:pPr>
            <w:r>
              <w:rPr>
                <w:rFonts w:hint="eastAsia"/>
                <w:b/>
                <w:bCs/>
                <w:sz w:val="24"/>
                <w:szCs w:val="24"/>
              </w:rPr>
              <w:t>表</w:t>
            </w:r>
            <w:r>
              <w:rPr>
                <w:rFonts w:hint="eastAsia"/>
                <w:b/>
                <w:bCs/>
                <w:sz w:val="24"/>
                <w:szCs w:val="24"/>
                <w:lang w:val="en-US" w:eastAsia="zh-CN"/>
              </w:rPr>
              <w:t>39</w:t>
            </w:r>
            <w:r>
              <w:rPr>
                <w:rFonts w:hint="eastAsia"/>
                <w:b/>
                <w:bCs/>
                <w:sz w:val="24"/>
                <w:szCs w:val="24"/>
              </w:rPr>
              <w:t xml:space="preserve">  非正常工况下污染物排放情况</w:t>
            </w:r>
          </w:p>
          <w:tbl>
            <w:tblPr>
              <w:tblStyle w:val="25"/>
              <w:tblW w:w="78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755"/>
              <w:gridCol w:w="991"/>
              <w:gridCol w:w="1200"/>
              <w:gridCol w:w="988"/>
              <w:gridCol w:w="973"/>
              <w:gridCol w:w="10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84" w:type="dxa"/>
                  <w:shd w:val="clear" w:color="auto" w:fill="auto"/>
                  <w:noWrap/>
                  <w:vAlign w:val="center"/>
                </w:tcPr>
                <w:p>
                  <w:pPr>
                    <w:pStyle w:val="31"/>
                    <w:spacing w:line="240" w:lineRule="auto"/>
                    <w:jc w:val="center"/>
                  </w:pPr>
                  <w:r>
                    <w:t>序号</w:t>
                  </w:r>
                </w:p>
              </w:tc>
              <w:tc>
                <w:tcPr>
                  <w:tcW w:w="1755" w:type="dxa"/>
                  <w:shd w:val="clear" w:color="auto" w:fill="auto"/>
                  <w:noWrap/>
                  <w:vAlign w:val="center"/>
                </w:tcPr>
                <w:p>
                  <w:pPr>
                    <w:pStyle w:val="31"/>
                    <w:spacing w:line="240" w:lineRule="auto"/>
                    <w:jc w:val="center"/>
                  </w:pPr>
                  <w:r>
                    <w:rPr>
                      <w:rFonts w:hint="eastAsia"/>
                    </w:rPr>
                    <w:t>污染源</w:t>
                  </w:r>
                </w:p>
              </w:tc>
              <w:tc>
                <w:tcPr>
                  <w:tcW w:w="991" w:type="dxa"/>
                  <w:shd w:val="clear" w:color="auto" w:fill="auto"/>
                  <w:noWrap/>
                  <w:vAlign w:val="center"/>
                </w:tcPr>
                <w:p>
                  <w:pPr>
                    <w:pStyle w:val="31"/>
                    <w:spacing w:line="240" w:lineRule="auto"/>
                    <w:jc w:val="center"/>
                  </w:pPr>
                  <w:r>
                    <w:rPr>
                      <w:rFonts w:hint="eastAsia"/>
                    </w:rPr>
                    <w:t>污染物</w:t>
                  </w:r>
                </w:p>
              </w:tc>
              <w:tc>
                <w:tcPr>
                  <w:tcW w:w="1200" w:type="dxa"/>
                  <w:shd w:val="clear" w:color="auto" w:fill="auto"/>
                  <w:noWrap/>
                  <w:vAlign w:val="center"/>
                </w:tcPr>
                <w:p>
                  <w:pPr>
                    <w:pStyle w:val="31"/>
                    <w:spacing w:line="240" w:lineRule="auto"/>
                    <w:jc w:val="center"/>
                  </w:pPr>
                  <w:r>
                    <w:rPr>
                      <w:rFonts w:hint="eastAsia"/>
                    </w:rPr>
                    <w:t>产生浓度mg/m</w:t>
                  </w:r>
                  <w:r>
                    <w:rPr>
                      <w:rFonts w:hint="eastAsia"/>
                      <w:vertAlign w:val="superscript"/>
                    </w:rPr>
                    <w:t>3</w:t>
                  </w:r>
                </w:p>
              </w:tc>
              <w:tc>
                <w:tcPr>
                  <w:tcW w:w="988" w:type="dxa"/>
                  <w:shd w:val="clear" w:color="auto" w:fill="auto"/>
                  <w:noWrap/>
                  <w:vAlign w:val="center"/>
                </w:tcPr>
                <w:p>
                  <w:pPr>
                    <w:pStyle w:val="31"/>
                    <w:spacing w:line="240" w:lineRule="auto"/>
                    <w:jc w:val="center"/>
                  </w:pPr>
                  <w:r>
                    <w:rPr>
                      <w:rFonts w:hint="eastAsia"/>
                    </w:rPr>
                    <w:t>产生量t/次</w:t>
                  </w:r>
                </w:p>
              </w:tc>
              <w:tc>
                <w:tcPr>
                  <w:tcW w:w="973" w:type="dxa"/>
                  <w:shd w:val="clear" w:color="auto" w:fill="auto"/>
                  <w:noWrap/>
                  <w:vAlign w:val="center"/>
                </w:tcPr>
                <w:p>
                  <w:pPr>
                    <w:pStyle w:val="31"/>
                    <w:spacing w:line="240" w:lineRule="auto"/>
                    <w:jc w:val="center"/>
                  </w:pPr>
                  <w:r>
                    <w:rPr>
                      <w:rFonts w:hint="eastAsia"/>
                    </w:rPr>
                    <w:t>排放浓度g/m</w:t>
                  </w:r>
                  <w:r>
                    <w:rPr>
                      <w:rFonts w:hint="eastAsia"/>
                      <w:vertAlign w:val="superscript"/>
                    </w:rPr>
                    <w:t>3</w:t>
                  </w:r>
                </w:p>
              </w:tc>
              <w:tc>
                <w:tcPr>
                  <w:tcW w:w="1047" w:type="dxa"/>
                  <w:shd w:val="clear" w:color="auto" w:fill="auto"/>
                  <w:noWrap/>
                  <w:vAlign w:val="center"/>
                </w:tcPr>
                <w:p>
                  <w:pPr>
                    <w:pStyle w:val="31"/>
                    <w:spacing w:line="240" w:lineRule="auto"/>
                    <w:jc w:val="center"/>
                  </w:pPr>
                  <w:r>
                    <w:rPr>
                      <w:rFonts w:hint="eastAsia"/>
                    </w:rPr>
                    <w:t>排放量</w:t>
                  </w:r>
                </w:p>
                <w:p>
                  <w:pPr>
                    <w:pStyle w:val="31"/>
                    <w:spacing w:line="240" w:lineRule="auto"/>
                    <w:jc w:val="center"/>
                  </w:pPr>
                  <w:r>
                    <w:rPr>
                      <w:rFonts w:hint="eastAsia"/>
                    </w:rPr>
                    <w:t>t/次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84"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755"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预处理及</w:t>
                  </w:r>
                </w:p>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废机油存储</w:t>
                  </w:r>
                </w:p>
              </w:tc>
              <w:tc>
                <w:tcPr>
                  <w:tcW w:w="991"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非甲烷总烃</w:t>
                  </w:r>
                </w:p>
              </w:tc>
              <w:tc>
                <w:tcPr>
                  <w:tcW w:w="1200"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hAnsi="宋体" w:eastAsia="宋体" w:cs="宋体"/>
                      <w:b w:val="0"/>
                      <w:bCs/>
                      <w:sz w:val="21"/>
                      <w:szCs w:val="21"/>
                      <w:lang w:val="en-US" w:eastAsia="zh-CN"/>
                    </w:rPr>
                    <w:t>1</w:t>
                  </w:r>
                  <w:r>
                    <w:rPr>
                      <w:rFonts w:hint="eastAsia" w:ascii="宋体" w:hAnsi="宋体" w:eastAsia="宋体" w:cs="宋体"/>
                      <w:b w:val="0"/>
                      <w:bCs/>
                      <w:sz w:val="21"/>
                      <w:szCs w:val="21"/>
                    </w:rPr>
                    <w:t>.5</w:t>
                  </w:r>
                </w:p>
              </w:tc>
              <w:tc>
                <w:tcPr>
                  <w:tcW w:w="988"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0.0003</w:t>
                  </w:r>
                </w:p>
              </w:tc>
              <w:tc>
                <w:tcPr>
                  <w:tcW w:w="973"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hAnsi="宋体" w:eastAsia="宋体" w:cs="宋体"/>
                      <w:b w:val="0"/>
                      <w:bCs/>
                      <w:sz w:val="21"/>
                      <w:szCs w:val="21"/>
                      <w:lang w:val="en-US" w:eastAsia="zh-CN"/>
                    </w:rPr>
                    <w:t>1</w:t>
                  </w:r>
                  <w:r>
                    <w:rPr>
                      <w:rFonts w:hint="eastAsia" w:ascii="宋体" w:hAnsi="宋体" w:eastAsia="宋体" w:cs="宋体"/>
                      <w:b w:val="0"/>
                      <w:bCs/>
                      <w:sz w:val="21"/>
                      <w:szCs w:val="21"/>
                    </w:rPr>
                    <w:t>.5</w:t>
                  </w:r>
                </w:p>
              </w:tc>
              <w:tc>
                <w:tcPr>
                  <w:tcW w:w="1047"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84"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755"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切割、压块废气</w:t>
                  </w:r>
                </w:p>
              </w:tc>
              <w:tc>
                <w:tcPr>
                  <w:tcW w:w="991"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颗粒物</w:t>
                  </w:r>
                </w:p>
              </w:tc>
              <w:tc>
                <w:tcPr>
                  <w:tcW w:w="1200"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hAnsi="宋体" w:eastAsia="宋体" w:cs="宋体"/>
                      <w:b w:val="0"/>
                      <w:bCs/>
                      <w:sz w:val="21"/>
                      <w:szCs w:val="21"/>
                      <w:lang w:val="en-US" w:eastAsia="zh-CN"/>
                    </w:rPr>
                    <w:t>6</w:t>
                  </w:r>
                  <w:r>
                    <w:rPr>
                      <w:rFonts w:hint="eastAsia" w:ascii="宋体" w:hAnsi="宋体" w:eastAsia="宋体" w:cs="宋体"/>
                      <w:b w:val="0"/>
                      <w:bCs/>
                      <w:sz w:val="21"/>
                      <w:szCs w:val="21"/>
                    </w:rPr>
                    <w:t>0.0</w:t>
                  </w:r>
                </w:p>
              </w:tc>
              <w:tc>
                <w:tcPr>
                  <w:tcW w:w="988"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0.00</w:t>
                  </w:r>
                  <w:r>
                    <w:rPr>
                      <w:rFonts w:hint="eastAsia" w:hAnsi="宋体" w:eastAsia="宋体" w:cs="宋体"/>
                      <w:b w:val="0"/>
                      <w:bCs/>
                      <w:sz w:val="21"/>
                      <w:szCs w:val="21"/>
                      <w:lang w:val="en-US" w:eastAsia="zh-CN"/>
                    </w:rPr>
                    <w:t>6</w:t>
                  </w:r>
                </w:p>
              </w:tc>
              <w:tc>
                <w:tcPr>
                  <w:tcW w:w="973"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hAnsi="宋体" w:eastAsia="宋体" w:cs="宋体"/>
                      <w:b w:val="0"/>
                      <w:bCs/>
                      <w:sz w:val="21"/>
                      <w:szCs w:val="21"/>
                      <w:lang w:val="en-US" w:eastAsia="zh-CN"/>
                    </w:rPr>
                    <w:t>6</w:t>
                  </w:r>
                  <w:r>
                    <w:rPr>
                      <w:rFonts w:hint="eastAsia" w:ascii="宋体" w:hAnsi="宋体" w:eastAsia="宋体" w:cs="宋体"/>
                      <w:b w:val="0"/>
                      <w:bCs/>
                      <w:sz w:val="21"/>
                      <w:szCs w:val="21"/>
                    </w:rPr>
                    <w:t>0.0</w:t>
                  </w:r>
                </w:p>
              </w:tc>
              <w:tc>
                <w:tcPr>
                  <w:tcW w:w="1047" w:type="dxa"/>
                  <w:shd w:val="clear" w:color="auto" w:fill="auto"/>
                  <w:noWrap/>
                  <w:vAlign w:val="center"/>
                </w:tcPr>
                <w:p>
                  <w:pPr>
                    <w:pStyle w:val="31"/>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0.</w:t>
                  </w:r>
                  <w:r>
                    <w:rPr>
                      <w:rFonts w:hint="eastAsia" w:hAnsi="宋体" w:eastAsia="宋体" w:cs="宋体"/>
                      <w:b w:val="0"/>
                      <w:bCs/>
                      <w:sz w:val="21"/>
                      <w:szCs w:val="21"/>
                      <w:lang w:val="en-US" w:eastAsia="zh-CN"/>
                    </w:rPr>
                    <w:t>006</w:t>
                  </w:r>
                </w:p>
              </w:tc>
            </w:tr>
          </w:tbl>
          <w:p>
            <w:pPr>
              <w:adjustRightInd w:val="0"/>
              <w:snapToGrid w:val="0"/>
              <w:ind w:firstLine="480"/>
            </w:pPr>
          </w:p>
          <w:p>
            <w:pPr>
              <w:adjustRightInd w:val="0"/>
              <w:snapToGrid w:val="0"/>
              <w:spacing w:line="360" w:lineRule="auto"/>
              <w:ind w:firstLine="480"/>
              <w:rPr>
                <w:sz w:val="24"/>
                <w:szCs w:val="24"/>
              </w:rPr>
            </w:pPr>
            <w:r>
              <w:rPr>
                <w:sz w:val="24"/>
                <w:szCs w:val="24"/>
              </w:rPr>
              <w:t>根据上述分析可知</w:t>
            </w:r>
            <w:r>
              <w:rPr>
                <w:rFonts w:hint="eastAsia"/>
                <w:sz w:val="24"/>
                <w:szCs w:val="24"/>
              </w:rPr>
              <w:t>，</w:t>
            </w:r>
            <w:r>
              <w:rPr>
                <w:sz w:val="24"/>
                <w:szCs w:val="24"/>
              </w:rPr>
              <w:t>非正常工况下</w:t>
            </w:r>
            <w:r>
              <w:rPr>
                <w:rFonts w:hint="eastAsia"/>
                <w:sz w:val="24"/>
                <w:szCs w:val="24"/>
              </w:rPr>
              <w:t>，污染物排放情况远超污染防治设施正常运行工况，</w:t>
            </w:r>
            <w:r>
              <w:rPr>
                <w:sz w:val="24"/>
                <w:szCs w:val="24"/>
              </w:rPr>
              <w:t>故需采取相应污染防治措施</w:t>
            </w:r>
            <w:r>
              <w:rPr>
                <w:rFonts w:hint="eastAsia"/>
                <w:sz w:val="24"/>
                <w:szCs w:val="24"/>
              </w:rPr>
              <w:t>，</w:t>
            </w:r>
            <w:r>
              <w:rPr>
                <w:sz w:val="24"/>
                <w:szCs w:val="24"/>
              </w:rPr>
              <w:t>避免发生污染物超标排放的情况</w:t>
            </w:r>
            <w:r>
              <w:rPr>
                <w:rFonts w:hint="eastAsia"/>
                <w:sz w:val="24"/>
                <w:szCs w:val="24"/>
              </w:rPr>
              <w:t>。</w:t>
            </w:r>
            <w:r>
              <w:rPr>
                <w:sz w:val="24"/>
                <w:szCs w:val="24"/>
              </w:rPr>
              <w:t>本项目主要非正常工况治理措施包括</w:t>
            </w:r>
            <w:r>
              <w:rPr>
                <w:rFonts w:hint="eastAsia"/>
                <w:sz w:val="24"/>
                <w:szCs w:val="24"/>
              </w:rPr>
              <w:t xml:space="preserve">： </w:t>
            </w:r>
          </w:p>
          <w:p>
            <w:pPr>
              <w:pStyle w:val="10"/>
              <w:spacing w:after="0" w:line="360" w:lineRule="auto"/>
              <w:ind w:firstLine="480" w:firstLineChars="200"/>
              <w:rPr>
                <w:sz w:val="24"/>
                <w:szCs w:val="24"/>
              </w:rPr>
            </w:pPr>
            <w:r>
              <w:rPr>
                <w:rFonts w:hint="eastAsia"/>
                <w:sz w:val="24"/>
                <w:szCs w:val="24"/>
              </w:rPr>
              <w:t>①严格按照相关要求安装符合标准的污染防治设施；</w:t>
            </w:r>
          </w:p>
          <w:p>
            <w:pPr>
              <w:pStyle w:val="10"/>
              <w:spacing w:after="0" w:line="360" w:lineRule="auto"/>
              <w:ind w:firstLine="480" w:firstLineChars="200"/>
              <w:rPr>
                <w:sz w:val="24"/>
                <w:szCs w:val="24"/>
              </w:rPr>
            </w:pPr>
            <w:r>
              <w:rPr>
                <w:rFonts w:hint="eastAsia"/>
                <w:sz w:val="24"/>
                <w:szCs w:val="24"/>
              </w:rPr>
              <w:t>②加强污染防治设施（活性炭吸附装置、袋式除尘器等）日常维护和保养，避免发生非正常工况；</w:t>
            </w:r>
          </w:p>
          <w:p>
            <w:pPr>
              <w:pStyle w:val="10"/>
              <w:spacing w:after="0" w:line="360" w:lineRule="auto"/>
              <w:ind w:firstLine="480" w:firstLineChars="200"/>
              <w:rPr>
                <w:sz w:val="24"/>
                <w:szCs w:val="24"/>
              </w:rPr>
            </w:pPr>
            <w:r>
              <w:rPr>
                <w:rFonts w:hint="eastAsia"/>
                <w:sz w:val="24"/>
                <w:szCs w:val="24"/>
              </w:rPr>
              <w:t>③加强工作人员日常培训，提高职工环保意识，定期对污染防治设施进行检查，规范污染防治设施操作流程；</w:t>
            </w:r>
          </w:p>
          <w:p>
            <w:pPr>
              <w:pStyle w:val="10"/>
              <w:spacing w:after="0" w:line="360" w:lineRule="auto"/>
              <w:ind w:firstLine="480" w:firstLineChars="200"/>
            </w:pPr>
            <w:r>
              <w:rPr>
                <w:rFonts w:hint="eastAsia"/>
                <w:sz w:val="24"/>
                <w:szCs w:val="24"/>
              </w:rPr>
              <w:t>④发生污染防治设施非正常工况时，及时停止作业，减小污染物超标排放时段，以减小污染物排放量；</w:t>
            </w:r>
          </w:p>
          <w:p>
            <w:pPr>
              <w:adjustRightInd w:val="0"/>
              <w:snapToGrid w:val="0"/>
              <w:spacing w:line="360" w:lineRule="auto"/>
              <w:ind w:firstLine="480"/>
              <w:rPr>
                <w:sz w:val="24"/>
                <w:szCs w:val="24"/>
              </w:rPr>
            </w:pPr>
            <w:r>
              <w:rPr>
                <w:rFonts w:hint="eastAsia"/>
                <w:sz w:val="24"/>
                <w:szCs w:val="24"/>
              </w:rPr>
              <w:t>⑤发生非正常排放、超标排放事故时，及时向环境主管部门汇报工况及处理措施。</w:t>
            </w:r>
          </w:p>
          <w:p>
            <w:pPr>
              <w:adjustRightInd w:val="0"/>
              <w:snapToGrid w:val="0"/>
              <w:spacing w:line="360" w:lineRule="auto"/>
              <w:ind w:firstLine="480"/>
              <w:rPr>
                <w:b/>
                <w:bCs/>
                <w:i w:val="0"/>
                <w:iCs w:val="0"/>
                <w:sz w:val="24"/>
                <w:szCs w:val="24"/>
                <w:u w:val="single"/>
              </w:rPr>
            </w:pPr>
            <w:r>
              <w:rPr>
                <w:rFonts w:hint="eastAsia"/>
                <w:b/>
                <w:bCs/>
                <w:i w:val="0"/>
                <w:iCs w:val="0"/>
                <w:sz w:val="24"/>
                <w:szCs w:val="24"/>
                <w:u w:val="single"/>
              </w:rPr>
              <w:t>（</w:t>
            </w:r>
            <w:r>
              <w:rPr>
                <w:rFonts w:hint="eastAsia"/>
                <w:b/>
                <w:bCs/>
                <w:i w:val="0"/>
                <w:iCs w:val="0"/>
                <w:sz w:val="24"/>
                <w:szCs w:val="24"/>
                <w:u w:val="single"/>
                <w:lang w:val="en-US" w:eastAsia="zh-CN"/>
              </w:rPr>
              <w:t>11</w:t>
            </w:r>
            <w:r>
              <w:rPr>
                <w:rFonts w:hint="eastAsia"/>
                <w:b/>
                <w:bCs/>
                <w:i w:val="0"/>
                <w:iCs w:val="0"/>
                <w:sz w:val="24"/>
                <w:szCs w:val="24"/>
                <w:u w:val="single"/>
              </w:rPr>
              <w:t>）监测要求</w:t>
            </w:r>
          </w:p>
          <w:p>
            <w:pPr>
              <w:adjustRightInd w:val="0"/>
              <w:snapToGrid w:val="0"/>
              <w:spacing w:line="360" w:lineRule="auto"/>
              <w:ind w:firstLine="480"/>
              <w:rPr>
                <w:i w:val="0"/>
                <w:iCs w:val="0"/>
                <w:sz w:val="24"/>
                <w:szCs w:val="24"/>
                <w:u w:val="single"/>
              </w:rPr>
            </w:pPr>
            <w:r>
              <w:rPr>
                <w:rFonts w:hint="eastAsia"/>
                <w:i w:val="0"/>
                <w:iCs w:val="0"/>
                <w:sz w:val="24"/>
                <w:szCs w:val="24"/>
                <w:u w:val="single"/>
              </w:rPr>
              <w:t>根据《排污许可证申请与核发技术规范 废弃资源加工工业》（HJ1034-2019）相关要求，本项目废气污染物监测要求如下：</w:t>
            </w:r>
          </w:p>
          <w:p>
            <w:pPr>
              <w:pStyle w:val="10"/>
              <w:spacing w:after="0" w:line="360" w:lineRule="auto"/>
              <w:ind w:firstLine="482" w:firstLineChars="200"/>
              <w:jc w:val="center"/>
              <w:rPr>
                <w:b/>
                <w:bCs/>
                <w:i w:val="0"/>
                <w:iCs w:val="0"/>
                <w:u w:val="single"/>
              </w:rPr>
            </w:pPr>
            <w:r>
              <w:rPr>
                <w:rFonts w:hint="eastAsia"/>
                <w:b/>
                <w:bCs/>
                <w:i w:val="0"/>
                <w:iCs w:val="0"/>
                <w:sz w:val="24"/>
                <w:szCs w:val="24"/>
                <w:u w:val="single"/>
              </w:rPr>
              <w:t>表4</w:t>
            </w:r>
            <w:r>
              <w:rPr>
                <w:rFonts w:hint="eastAsia"/>
                <w:b/>
                <w:bCs/>
                <w:i w:val="0"/>
                <w:iCs w:val="0"/>
                <w:sz w:val="24"/>
                <w:szCs w:val="24"/>
                <w:u w:val="single"/>
                <w:lang w:val="en-US" w:eastAsia="zh-CN"/>
              </w:rPr>
              <w:t>0</w:t>
            </w:r>
            <w:r>
              <w:rPr>
                <w:rFonts w:hint="eastAsia"/>
                <w:b/>
                <w:bCs/>
                <w:i w:val="0"/>
                <w:iCs w:val="0"/>
                <w:sz w:val="24"/>
                <w:szCs w:val="24"/>
                <w:u w:val="single"/>
              </w:rPr>
              <w:t xml:space="preserve">   本项目废气污染物监测要求一览表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572"/>
              <w:gridCol w:w="2628"/>
              <w:gridCol w:w="1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22" w:type="pct"/>
                  <w:noWrap/>
                  <w:vAlign w:val="center"/>
                </w:tcPr>
                <w:p>
                  <w:pPr>
                    <w:jc w:val="center"/>
                    <w:rPr>
                      <w:b/>
                      <w:bCs/>
                      <w:i w:val="0"/>
                      <w:iCs w:val="0"/>
                      <w:u w:val="single"/>
                    </w:rPr>
                  </w:pPr>
                  <w:r>
                    <w:rPr>
                      <w:b/>
                      <w:bCs/>
                      <w:i w:val="0"/>
                      <w:iCs w:val="0"/>
                      <w:u w:val="single"/>
                    </w:rPr>
                    <w:t>监测项目</w:t>
                  </w:r>
                </w:p>
              </w:tc>
              <w:tc>
                <w:tcPr>
                  <w:tcW w:w="1603" w:type="pct"/>
                  <w:noWrap/>
                  <w:vAlign w:val="center"/>
                </w:tcPr>
                <w:p>
                  <w:pPr>
                    <w:jc w:val="center"/>
                    <w:rPr>
                      <w:b/>
                      <w:bCs/>
                      <w:i w:val="0"/>
                      <w:iCs w:val="0"/>
                      <w:u w:val="single"/>
                    </w:rPr>
                  </w:pPr>
                  <w:r>
                    <w:rPr>
                      <w:b/>
                      <w:bCs/>
                      <w:i w:val="0"/>
                      <w:iCs w:val="0"/>
                      <w:u w:val="single"/>
                    </w:rPr>
                    <w:t>监测因子</w:t>
                  </w:r>
                </w:p>
              </w:tc>
              <w:tc>
                <w:tcPr>
                  <w:tcW w:w="1638" w:type="pct"/>
                  <w:noWrap/>
                  <w:vAlign w:val="center"/>
                </w:tcPr>
                <w:p>
                  <w:pPr>
                    <w:jc w:val="center"/>
                    <w:rPr>
                      <w:b/>
                      <w:bCs/>
                      <w:i w:val="0"/>
                      <w:iCs w:val="0"/>
                      <w:u w:val="single"/>
                    </w:rPr>
                  </w:pPr>
                  <w:r>
                    <w:rPr>
                      <w:b/>
                      <w:bCs/>
                      <w:i w:val="0"/>
                      <w:iCs w:val="0"/>
                      <w:u w:val="single"/>
                    </w:rPr>
                    <w:t>监测点位</w:t>
                  </w:r>
                </w:p>
              </w:tc>
              <w:tc>
                <w:tcPr>
                  <w:tcW w:w="1035" w:type="pct"/>
                  <w:noWrap/>
                  <w:vAlign w:val="center"/>
                </w:tcPr>
                <w:p>
                  <w:pPr>
                    <w:jc w:val="center"/>
                    <w:rPr>
                      <w:b/>
                      <w:bCs/>
                      <w:i w:val="0"/>
                      <w:iCs w:val="0"/>
                      <w:u w:val="single"/>
                    </w:rPr>
                  </w:pPr>
                  <w:r>
                    <w:rPr>
                      <w:b/>
                      <w:bCs/>
                      <w:i w:val="0"/>
                      <w:iCs w:val="0"/>
                      <w:u w:val="single"/>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22" w:type="pct"/>
                  <w:vMerge w:val="restart"/>
                  <w:noWrap/>
                  <w:vAlign w:val="center"/>
                </w:tcPr>
                <w:p>
                  <w:pPr>
                    <w:jc w:val="center"/>
                    <w:rPr>
                      <w:i w:val="0"/>
                      <w:iCs w:val="0"/>
                      <w:u w:val="single"/>
                    </w:rPr>
                  </w:pPr>
                  <w:r>
                    <w:rPr>
                      <w:i w:val="0"/>
                      <w:iCs w:val="0"/>
                      <w:u w:val="single"/>
                    </w:rPr>
                    <w:t>废气</w:t>
                  </w:r>
                </w:p>
              </w:tc>
              <w:tc>
                <w:tcPr>
                  <w:tcW w:w="1603" w:type="pct"/>
                  <w:noWrap/>
                  <w:vAlign w:val="center"/>
                </w:tcPr>
                <w:p>
                  <w:pPr>
                    <w:jc w:val="center"/>
                    <w:rPr>
                      <w:i w:val="0"/>
                      <w:iCs w:val="0"/>
                      <w:u w:val="single"/>
                    </w:rPr>
                  </w:pPr>
                  <w:r>
                    <w:rPr>
                      <w:rFonts w:hint="eastAsia"/>
                      <w:i w:val="0"/>
                      <w:iCs w:val="0"/>
                      <w:u w:val="single"/>
                    </w:rPr>
                    <w:t>非甲烷总烃</w:t>
                  </w:r>
                </w:p>
              </w:tc>
              <w:tc>
                <w:tcPr>
                  <w:tcW w:w="1638" w:type="pct"/>
                  <w:noWrap/>
                  <w:vAlign w:val="center"/>
                </w:tcPr>
                <w:p>
                  <w:pPr>
                    <w:jc w:val="center"/>
                    <w:rPr>
                      <w:i w:val="0"/>
                      <w:iCs w:val="0"/>
                      <w:u w:val="single"/>
                    </w:rPr>
                  </w:pPr>
                  <w:r>
                    <w:rPr>
                      <w:rFonts w:hint="eastAsia"/>
                      <w:i w:val="0"/>
                      <w:iCs w:val="0"/>
                      <w:u w:val="single"/>
                    </w:rPr>
                    <w:t>DA001排气筒</w:t>
                  </w:r>
                </w:p>
              </w:tc>
              <w:tc>
                <w:tcPr>
                  <w:tcW w:w="1035" w:type="pct"/>
                  <w:noWrap/>
                  <w:vAlign w:val="center"/>
                </w:tcPr>
                <w:p>
                  <w:pPr>
                    <w:jc w:val="center"/>
                    <w:rPr>
                      <w:i w:val="0"/>
                      <w:iCs w:val="0"/>
                      <w:u w:val="single"/>
                    </w:rPr>
                  </w:pPr>
                  <w:r>
                    <w:rPr>
                      <w:rFonts w:hint="eastAsia"/>
                      <w:i w:val="0"/>
                      <w:iCs w:val="0"/>
                      <w:u w:val="singl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22" w:type="pct"/>
                  <w:vMerge w:val="continue"/>
                  <w:noWrap/>
                  <w:vAlign w:val="center"/>
                </w:tcPr>
                <w:p>
                  <w:pPr>
                    <w:jc w:val="center"/>
                    <w:rPr>
                      <w:i w:val="0"/>
                      <w:iCs w:val="0"/>
                      <w:u w:val="single"/>
                    </w:rPr>
                  </w:pPr>
                </w:p>
              </w:tc>
              <w:tc>
                <w:tcPr>
                  <w:tcW w:w="1603" w:type="pct"/>
                  <w:noWrap/>
                  <w:vAlign w:val="center"/>
                </w:tcPr>
                <w:p>
                  <w:pPr>
                    <w:jc w:val="center"/>
                    <w:rPr>
                      <w:i w:val="0"/>
                      <w:iCs w:val="0"/>
                      <w:u w:val="single"/>
                    </w:rPr>
                  </w:pPr>
                  <w:r>
                    <w:rPr>
                      <w:rFonts w:hint="eastAsia"/>
                      <w:i w:val="0"/>
                      <w:iCs w:val="0"/>
                      <w:u w:val="single"/>
                    </w:rPr>
                    <w:t>颗粒物</w:t>
                  </w:r>
                </w:p>
              </w:tc>
              <w:tc>
                <w:tcPr>
                  <w:tcW w:w="1638" w:type="pct"/>
                  <w:noWrap/>
                  <w:vAlign w:val="center"/>
                </w:tcPr>
                <w:p>
                  <w:pPr>
                    <w:jc w:val="center"/>
                    <w:rPr>
                      <w:i w:val="0"/>
                      <w:iCs w:val="0"/>
                      <w:u w:val="single"/>
                    </w:rPr>
                  </w:pPr>
                  <w:r>
                    <w:rPr>
                      <w:rFonts w:hint="eastAsia"/>
                      <w:i w:val="0"/>
                      <w:iCs w:val="0"/>
                      <w:u w:val="single"/>
                    </w:rPr>
                    <w:t>DA002排气筒</w:t>
                  </w:r>
                </w:p>
              </w:tc>
              <w:tc>
                <w:tcPr>
                  <w:tcW w:w="1035" w:type="pct"/>
                  <w:noWrap/>
                  <w:vAlign w:val="center"/>
                </w:tcPr>
                <w:p>
                  <w:pPr>
                    <w:jc w:val="center"/>
                    <w:rPr>
                      <w:i w:val="0"/>
                      <w:iCs w:val="0"/>
                      <w:u w:val="single"/>
                    </w:rPr>
                  </w:pPr>
                  <w:r>
                    <w:rPr>
                      <w:rFonts w:hint="eastAsia"/>
                      <w:i w:val="0"/>
                      <w:iCs w:val="0"/>
                      <w:u w:val="singl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22" w:type="pct"/>
                  <w:vMerge w:val="continue"/>
                  <w:noWrap/>
                  <w:vAlign w:val="center"/>
                </w:tcPr>
                <w:p>
                  <w:pPr>
                    <w:jc w:val="center"/>
                    <w:rPr>
                      <w:i w:val="0"/>
                      <w:iCs w:val="0"/>
                      <w:u w:val="single"/>
                    </w:rPr>
                  </w:pPr>
                </w:p>
              </w:tc>
              <w:tc>
                <w:tcPr>
                  <w:tcW w:w="1603" w:type="pct"/>
                  <w:noWrap/>
                  <w:vAlign w:val="center"/>
                </w:tcPr>
                <w:p>
                  <w:pPr>
                    <w:jc w:val="center"/>
                    <w:rPr>
                      <w:i w:val="0"/>
                      <w:iCs w:val="0"/>
                      <w:u w:val="single"/>
                    </w:rPr>
                  </w:pPr>
                  <w:r>
                    <w:rPr>
                      <w:rFonts w:hint="eastAsia"/>
                      <w:i w:val="0"/>
                      <w:iCs w:val="0"/>
                      <w:u w:val="single"/>
                    </w:rPr>
                    <w:t>非甲烷总烃、颗粒物</w:t>
                  </w:r>
                </w:p>
              </w:tc>
              <w:tc>
                <w:tcPr>
                  <w:tcW w:w="1638" w:type="pct"/>
                  <w:noWrap/>
                  <w:vAlign w:val="center"/>
                </w:tcPr>
                <w:p>
                  <w:pPr>
                    <w:jc w:val="center"/>
                    <w:rPr>
                      <w:i w:val="0"/>
                      <w:iCs w:val="0"/>
                      <w:u w:val="single"/>
                    </w:rPr>
                  </w:pPr>
                  <w:r>
                    <w:rPr>
                      <w:rFonts w:hint="eastAsia"/>
                      <w:i w:val="0"/>
                      <w:iCs w:val="0"/>
                      <w:u w:val="single"/>
                    </w:rPr>
                    <w:t>厂界</w:t>
                  </w:r>
                </w:p>
              </w:tc>
              <w:tc>
                <w:tcPr>
                  <w:tcW w:w="1035" w:type="pct"/>
                  <w:noWrap/>
                  <w:vAlign w:val="center"/>
                </w:tcPr>
                <w:p>
                  <w:pPr>
                    <w:jc w:val="center"/>
                    <w:rPr>
                      <w:i w:val="0"/>
                      <w:iCs w:val="0"/>
                      <w:u w:val="single"/>
                    </w:rPr>
                  </w:pPr>
                  <w:r>
                    <w:rPr>
                      <w:rFonts w:hint="eastAsia"/>
                      <w:i w:val="0"/>
                      <w:iCs w:val="0"/>
                      <w:u w:val="single"/>
                    </w:rPr>
                    <w:t>1次/年</w:t>
                  </w:r>
                </w:p>
              </w:tc>
            </w:tr>
          </w:tbl>
          <w:p>
            <w:pPr>
              <w:adjustRightInd w:val="0"/>
              <w:snapToGrid w:val="0"/>
              <w:ind w:firstLine="480"/>
            </w:pPr>
          </w:p>
          <w:p>
            <w:pPr>
              <w:spacing w:line="360" w:lineRule="auto"/>
              <w:ind w:firstLine="482" w:firstLineChars="200"/>
              <w:outlineLvl w:val="0"/>
              <w:rPr>
                <w:b/>
                <w:bCs/>
                <w:sz w:val="24"/>
                <w:szCs w:val="24"/>
              </w:rPr>
            </w:pPr>
            <w:r>
              <w:rPr>
                <w:rFonts w:hint="eastAsia"/>
                <w:b/>
                <w:bCs/>
                <w:sz w:val="24"/>
                <w:szCs w:val="24"/>
                <w:lang w:eastAsia="zh-CN"/>
              </w:rPr>
              <w:t>四</w:t>
            </w:r>
            <w:r>
              <w:rPr>
                <w:b/>
                <w:bCs/>
                <w:sz w:val="24"/>
                <w:szCs w:val="24"/>
              </w:rPr>
              <w:t>、</w:t>
            </w:r>
            <w:r>
              <w:rPr>
                <w:rFonts w:hint="eastAsia"/>
                <w:b/>
                <w:bCs/>
                <w:sz w:val="24"/>
                <w:szCs w:val="24"/>
              </w:rPr>
              <w:t>噪声环境影响分析</w:t>
            </w:r>
          </w:p>
          <w:p>
            <w:pPr>
              <w:adjustRightInd w:val="0"/>
              <w:snapToGrid w:val="0"/>
              <w:spacing w:line="360" w:lineRule="auto"/>
              <w:ind w:firstLine="480"/>
              <w:rPr>
                <w:b/>
                <w:bCs/>
                <w:sz w:val="24"/>
                <w:szCs w:val="24"/>
              </w:rPr>
            </w:pPr>
            <w:r>
              <w:rPr>
                <w:rFonts w:hint="eastAsia"/>
                <w:b/>
                <w:bCs/>
                <w:sz w:val="24"/>
                <w:szCs w:val="24"/>
              </w:rPr>
              <w:t>（1）污染源分析</w:t>
            </w:r>
          </w:p>
          <w:p>
            <w:pPr>
              <w:adjustRightInd w:val="0"/>
              <w:snapToGrid w:val="0"/>
              <w:spacing w:line="360" w:lineRule="auto"/>
              <w:ind w:firstLine="480"/>
              <w:rPr>
                <w:sz w:val="24"/>
                <w:szCs w:val="24"/>
              </w:rPr>
            </w:pPr>
            <w:r>
              <w:rPr>
                <w:sz w:val="24"/>
                <w:szCs w:val="24"/>
              </w:rPr>
              <w:t>本项目营运期的噪声主要为</w:t>
            </w:r>
            <w:r>
              <w:rPr>
                <w:rFonts w:hint="eastAsia"/>
                <w:sz w:val="24"/>
                <w:szCs w:val="24"/>
              </w:rPr>
              <w:t>切割</w:t>
            </w:r>
            <w:r>
              <w:rPr>
                <w:sz w:val="24"/>
                <w:szCs w:val="24"/>
              </w:rPr>
              <w:t>机</w:t>
            </w:r>
            <w:r>
              <w:rPr>
                <w:rFonts w:hint="eastAsia"/>
                <w:sz w:val="24"/>
                <w:szCs w:val="24"/>
              </w:rPr>
              <w:t>、剪切设备</w:t>
            </w:r>
            <w:r>
              <w:rPr>
                <w:sz w:val="24"/>
                <w:szCs w:val="24"/>
              </w:rPr>
              <w:t>等设备，噪声值为</w:t>
            </w:r>
            <w:r>
              <w:rPr>
                <w:rFonts w:hint="eastAsia"/>
                <w:sz w:val="24"/>
                <w:szCs w:val="24"/>
              </w:rPr>
              <w:t>80</w:t>
            </w:r>
            <w:r>
              <w:rPr>
                <w:sz w:val="24"/>
                <w:szCs w:val="24"/>
              </w:rPr>
              <w:t>～</w:t>
            </w:r>
            <w:r>
              <w:rPr>
                <w:rFonts w:hint="eastAsia"/>
                <w:sz w:val="24"/>
                <w:szCs w:val="24"/>
              </w:rPr>
              <w:t>90</w:t>
            </w:r>
            <w:r>
              <w:rPr>
                <w:sz w:val="24"/>
                <w:szCs w:val="24"/>
              </w:rPr>
              <w:t>dB(A)。本项目各设备噪声源强详见下表：</w:t>
            </w:r>
          </w:p>
          <w:p>
            <w:pPr>
              <w:pStyle w:val="33"/>
              <w:numPr>
                <w:ilvl w:val="0"/>
                <w:numId w:val="0"/>
              </w:numPr>
              <w:wordWrap w:val="0"/>
              <w:spacing w:line="360" w:lineRule="auto"/>
              <w:jc w:val="right"/>
              <w:rPr>
                <w:sz w:val="24"/>
                <w:szCs w:val="24"/>
              </w:rPr>
            </w:pPr>
            <w:r>
              <w:rPr>
                <w:rFonts w:hint="eastAsia"/>
                <w:sz w:val="24"/>
                <w:szCs w:val="24"/>
              </w:rPr>
              <w:t>表4</w:t>
            </w:r>
            <w:r>
              <w:rPr>
                <w:rFonts w:hint="eastAsia"/>
                <w:sz w:val="24"/>
                <w:szCs w:val="24"/>
                <w:lang w:val="en-US" w:eastAsia="zh-CN"/>
              </w:rPr>
              <w:t>1</w:t>
            </w:r>
            <w:r>
              <w:rPr>
                <w:rFonts w:hint="eastAsia"/>
                <w:sz w:val="24"/>
                <w:szCs w:val="24"/>
              </w:rPr>
              <w:t xml:space="preserve">  </w:t>
            </w:r>
            <w:r>
              <w:rPr>
                <w:sz w:val="24"/>
                <w:szCs w:val="24"/>
              </w:rPr>
              <w:t>本项目噪声览</w:t>
            </w:r>
            <w:r>
              <w:rPr>
                <w:rFonts w:hint="eastAsia"/>
                <w:sz w:val="24"/>
                <w:szCs w:val="24"/>
              </w:rPr>
              <w:t>排放源强           单位：</w:t>
            </w:r>
            <w:r>
              <w:rPr>
                <w:sz w:val="24"/>
                <w:szCs w:val="24"/>
              </w:rPr>
              <w:t>dB(A)</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952"/>
              <w:gridCol w:w="1241"/>
              <w:gridCol w:w="1527"/>
              <w:gridCol w:w="2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0" w:type="pct"/>
                  <w:shd w:val="clear" w:color="auto" w:fill="auto"/>
                  <w:noWrap/>
                  <w:vAlign w:val="center"/>
                </w:tcPr>
                <w:p>
                  <w:pPr>
                    <w:jc w:val="center"/>
                    <w:rPr>
                      <w:b/>
                      <w:bCs/>
                    </w:rPr>
                  </w:pPr>
                  <w:r>
                    <w:rPr>
                      <w:rFonts w:hint="eastAsia"/>
                      <w:b/>
                      <w:bCs/>
                    </w:rPr>
                    <w:t>序号</w:t>
                  </w:r>
                </w:p>
              </w:tc>
              <w:tc>
                <w:tcPr>
                  <w:tcW w:w="1216" w:type="pct"/>
                  <w:shd w:val="clear" w:color="auto" w:fill="auto"/>
                  <w:noWrap/>
                  <w:vAlign w:val="center"/>
                </w:tcPr>
                <w:p>
                  <w:pPr>
                    <w:jc w:val="center"/>
                    <w:rPr>
                      <w:b/>
                      <w:bCs/>
                    </w:rPr>
                  </w:pPr>
                  <w:r>
                    <w:rPr>
                      <w:rFonts w:hint="eastAsia"/>
                      <w:b/>
                      <w:bCs/>
                    </w:rPr>
                    <w:t>噪声源名称</w:t>
                  </w:r>
                </w:p>
              </w:tc>
              <w:tc>
                <w:tcPr>
                  <w:tcW w:w="774" w:type="pct"/>
                  <w:shd w:val="clear" w:color="auto" w:fill="auto"/>
                  <w:noWrap/>
                  <w:vAlign w:val="center"/>
                </w:tcPr>
                <w:p>
                  <w:pPr>
                    <w:jc w:val="center"/>
                    <w:rPr>
                      <w:b/>
                      <w:bCs/>
                    </w:rPr>
                  </w:pPr>
                  <w:r>
                    <w:rPr>
                      <w:rFonts w:hint="eastAsia"/>
                      <w:b/>
                      <w:bCs/>
                    </w:rPr>
                    <w:t>设备数量</w:t>
                  </w:r>
                </w:p>
              </w:tc>
              <w:tc>
                <w:tcPr>
                  <w:tcW w:w="951" w:type="pct"/>
                  <w:shd w:val="clear" w:color="auto" w:fill="auto"/>
                  <w:noWrap/>
                  <w:vAlign w:val="center"/>
                </w:tcPr>
                <w:p>
                  <w:pPr>
                    <w:jc w:val="center"/>
                    <w:rPr>
                      <w:b/>
                      <w:bCs/>
                    </w:rPr>
                  </w:pPr>
                  <w:r>
                    <w:rPr>
                      <w:rFonts w:hint="eastAsia"/>
                      <w:b/>
                      <w:bCs/>
                    </w:rPr>
                    <w:t>排放源强</w:t>
                  </w:r>
                </w:p>
              </w:tc>
              <w:tc>
                <w:tcPr>
                  <w:tcW w:w="1446" w:type="pct"/>
                  <w:shd w:val="clear" w:color="auto" w:fill="auto"/>
                  <w:noWrap/>
                  <w:vAlign w:val="center"/>
                </w:tcPr>
                <w:p>
                  <w:pPr>
                    <w:jc w:val="center"/>
                    <w:rPr>
                      <w:b/>
                      <w:bCs/>
                    </w:rPr>
                  </w:pPr>
                  <w:r>
                    <w:rPr>
                      <w:b/>
                      <w:bCs/>
                    </w:rPr>
                    <w:t>运行时长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0" w:type="pct"/>
                  <w:shd w:val="clear" w:color="auto" w:fill="auto"/>
                  <w:noWrap/>
                  <w:vAlign w:val="center"/>
                </w:tcPr>
                <w:p>
                  <w:pPr>
                    <w:jc w:val="center"/>
                  </w:pPr>
                  <w:r>
                    <w:rPr>
                      <w:rFonts w:hint="eastAsia"/>
                    </w:rPr>
                    <w:t>1</w:t>
                  </w:r>
                </w:p>
              </w:tc>
              <w:tc>
                <w:tcPr>
                  <w:tcW w:w="1216" w:type="pct"/>
                  <w:shd w:val="clear" w:color="auto" w:fill="auto"/>
                  <w:noWrap/>
                  <w:vAlign w:val="center"/>
                </w:tcPr>
                <w:p>
                  <w:pPr>
                    <w:jc w:val="center"/>
                  </w:pPr>
                  <w:r>
                    <w:rPr>
                      <w:rFonts w:hint="eastAsia"/>
                    </w:rPr>
                    <w:t>等离子切割机</w:t>
                  </w:r>
                </w:p>
              </w:tc>
              <w:tc>
                <w:tcPr>
                  <w:tcW w:w="774" w:type="pct"/>
                  <w:shd w:val="clear" w:color="auto" w:fill="auto"/>
                  <w:noWrap/>
                  <w:vAlign w:val="center"/>
                </w:tcPr>
                <w:p>
                  <w:pPr>
                    <w:jc w:val="center"/>
                  </w:pPr>
                  <w:r>
                    <w:rPr>
                      <w:rFonts w:hint="eastAsia"/>
                      <w:lang w:val="en-US" w:eastAsia="zh-CN"/>
                    </w:rPr>
                    <w:t>6</w:t>
                  </w:r>
                </w:p>
              </w:tc>
              <w:tc>
                <w:tcPr>
                  <w:tcW w:w="951" w:type="pct"/>
                  <w:shd w:val="clear" w:color="auto" w:fill="auto"/>
                  <w:noWrap/>
                  <w:vAlign w:val="center"/>
                </w:tcPr>
                <w:p>
                  <w:pPr>
                    <w:jc w:val="center"/>
                  </w:pPr>
                  <w:r>
                    <w:rPr>
                      <w:rFonts w:hint="eastAsia"/>
                    </w:rPr>
                    <w:t>85</w:t>
                  </w:r>
                </w:p>
              </w:tc>
              <w:tc>
                <w:tcPr>
                  <w:tcW w:w="1446" w:type="pct"/>
                  <w:shd w:val="clear" w:color="auto" w:fill="auto"/>
                  <w:noWrap/>
                  <w:vAlign w:val="center"/>
                </w:tcPr>
                <w:p>
                  <w:pPr>
                    <w:jc w:val="center"/>
                  </w:pPr>
                  <w:r>
                    <w:rPr>
                      <w:rFonts w:hint="eastAsia"/>
                    </w:rPr>
                    <w:t>1440h（昼间运行）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0" w:type="pct"/>
                  <w:shd w:val="clear" w:color="auto" w:fill="auto"/>
                  <w:noWrap/>
                  <w:vAlign w:val="center"/>
                </w:tcPr>
                <w:p>
                  <w:pPr>
                    <w:jc w:val="center"/>
                  </w:pPr>
                  <w:r>
                    <w:rPr>
                      <w:rFonts w:hint="eastAsia"/>
                    </w:rPr>
                    <w:t>2</w:t>
                  </w:r>
                </w:p>
              </w:tc>
              <w:tc>
                <w:tcPr>
                  <w:tcW w:w="1216" w:type="pct"/>
                  <w:shd w:val="clear" w:color="auto" w:fill="auto"/>
                  <w:noWrap/>
                  <w:vAlign w:val="center"/>
                </w:tcPr>
                <w:p>
                  <w:pPr>
                    <w:jc w:val="center"/>
                  </w:pPr>
                  <w:r>
                    <w:rPr>
                      <w:rFonts w:hint="eastAsia"/>
                    </w:rPr>
                    <w:t>液压剪</w:t>
                  </w:r>
                </w:p>
              </w:tc>
              <w:tc>
                <w:tcPr>
                  <w:tcW w:w="774" w:type="pct"/>
                  <w:shd w:val="clear" w:color="auto" w:fill="auto"/>
                  <w:noWrap/>
                  <w:vAlign w:val="center"/>
                </w:tcPr>
                <w:p>
                  <w:pPr>
                    <w:jc w:val="center"/>
                  </w:pPr>
                  <w:r>
                    <w:rPr>
                      <w:rFonts w:hint="eastAsia"/>
                    </w:rPr>
                    <w:t>1</w:t>
                  </w:r>
                </w:p>
              </w:tc>
              <w:tc>
                <w:tcPr>
                  <w:tcW w:w="951" w:type="pct"/>
                  <w:shd w:val="clear" w:color="auto" w:fill="auto"/>
                  <w:noWrap/>
                  <w:vAlign w:val="center"/>
                </w:tcPr>
                <w:p>
                  <w:pPr>
                    <w:jc w:val="center"/>
                  </w:pPr>
                  <w:r>
                    <w:rPr>
                      <w:rFonts w:hint="eastAsia"/>
                    </w:rPr>
                    <w:t>80</w:t>
                  </w:r>
                </w:p>
              </w:tc>
              <w:tc>
                <w:tcPr>
                  <w:tcW w:w="1446" w:type="pct"/>
                  <w:shd w:val="clear" w:color="auto" w:fill="auto"/>
                  <w:noWrap/>
                  <w:vAlign w:val="center"/>
                </w:tcPr>
                <w:p>
                  <w:pPr>
                    <w:jc w:val="center"/>
                  </w:pPr>
                  <w:r>
                    <w:rPr>
                      <w:rFonts w:hint="eastAsia"/>
                    </w:rPr>
                    <w:t>1440h（昼间运行）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0" w:type="pct"/>
                  <w:shd w:val="clear" w:color="auto" w:fill="auto"/>
                  <w:noWrap/>
                  <w:vAlign w:val="center"/>
                </w:tcPr>
                <w:p>
                  <w:pPr>
                    <w:jc w:val="center"/>
                  </w:pPr>
                  <w:r>
                    <w:rPr>
                      <w:rFonts w:hint="eastAsia"/>
                    </w:rPr>
                    <w:t>3</w:t>
                  </w:r>
                </w:p>
              </w:tc>
              <w:tc>
                <w:tcPr>
                  <w:tcW w:w="1216" w:type="pct"/>
                  <w:shd w:val="clear" w:color="auto" w:fill="auto"/>
                  <w:noWrap/>
                  <w:vAlign w:val="center"/>
                </w:tcPr>
                <w:p>
                  <w:pPr>
                    <w:jc w:val="center"/>
                  </w:pPr>
                  <w:r>
                    <w:rPr>
                      <w:rFonts w:hint="eastAsia"/>
                    </w:rPr>
                    <w:t>压块打包机</w:t>
                  </w:r>
                </w:p>
              </w:tc>
              <w:tc>
                <w:tcPr>
                  <w:tcW w:w="774" w:type="pct"/>
                  <w:shd w:val="clear" w:color="auto" w:fill="auto"/>
                  <w:noWrap/>
                  <w:vAlign w:val="center"/>
                </w:tcPr>
                <w:p>
                  <w:pPr>
                    <w:jc w:val="center"/>
                  </w:pPr>
                  <w:r>
                    <w:rPr>
                      <w:rFonts w:hint="eastAsia"/>
                    </w:rPr>
                    <w:t>1</w:t>
                  </w:r>
                </w:p>
              </w:tc>
              <w:tc>
                <w:tcPr>
                  <w:tcW w:w="951" w:type="pct"/>
                  <w:shd w:val="clear" w:color="auto" w:fill="auto"/>
                  <w:noWrap/>
                  <w:vAlign w:val="center"/>
                </w:tcPr>
                <w:p>
                  <w:pPr>
                    <w:jc w:val="center"/>
                  </w:pPr>
                  <w:r>
                    <w:rPr>
                      <w:rFonts w:hint="eastAsia"/>
                    </w:rPr>
                    <w:t>90</w:t>
                  </w:r>
                </w:p>
              </w:tc>
              <w:tc>
                <w:tcPr>
                  <w:tcW w:w="1446" w:type="pct"/>
                  <w:shd w:val="clear" w:color="auto" w:fill="auto"/>
                  <w:noWrap/>
                  <w:vAlign w:val="center"/>
                </w:tcPr>
                <w:p>
                  <w:pPr>
                    <w:jc w:val="center"/>
                  </w:pPr>
                  <w:r>
                    <w:rPr>
                      <w:rFonts w:hint="eastAsia"/>
                    </w:rPr>
                    <w:t>1440h（昼间运行）</w:t>
                  </w:r>
                </w:p>
              </w:tc>
            </w:tr>
          </w:tbl>
          <w:p>
            <w:pPr>
              <w:adjustRightInd w:val="0"/>
              <w:snapToGrid w:val="0"/>
              <w:ind w:firstLine="420" w:firstLineChars="200"/>
            </w:pPr>
          </w:p>
          <w:p>
            <w:pPr>
              <w:adjustRightInd w:val="0"/>
              <w:snapToGrid w:val="0"/>
              <w:spacing w:line="360" w:lineRule="auto"/>
              <w:ind w:firstLine="482" w:firstLineChars="200"/>
              <w:rPr>
                <w:b/>
                <w:bCs/>
                <w:sz w:val="24"/>
                <w:szCs w:val="24"/>
              </w:rPr>
            </w:pPr>
            <w:r>
              <w:rPr>
                <w:rFonts w:hint="eastAsia"/>
                <w:b/>
                <w:bCs/>
                <w:sz w:val="24"/>
                <w:szCs w:val="24"/>
              </w:rPr>
              <w:t>（2）噪声影响分析</w:t>
            </w:r>
          </w:p>
          <w:p>
            <w:pPr>
              <w:adjustRightInd w:val="0"/>
              <w:snapToGrid w:val="0"/>
              <w:spacing w:line="360" w:lineRule="auto"/>
              <w:ind w:firstLine="480" w:firstLineChars="200"/>
              <w:rPr>
                <w:sz w:val="24"/>
                <w:szCs w:val="24"/>
              </w:rPr>
            </w:pPr>
            <w:r>
              <w:rPr>
                <w:rFonts w:hint="eastAsia"/>
                <w:sz w:val="24"/>
                <w:szCs w:val="24"/>
              </w:rPr>
              <w:t>①预测点声压级计算</w:t>
            </w:r>
          </w:p>
          <w:p>
            <w:pPr>
              <w:adjustRightInd w:val="0"/>
              <w:snapToGrid w:val="0"/>
              <w:spacing w:line="360" w:lineRule="auto"/>
              <w:ind w:firstLine="480" w:firstLineChars="200"/>
            </w:pPr>
            <w:r>
              <w:rPr>
                <w:rFonts w:hint="eastAsia"/>
                <w:sz w:val="24"/>
                <w:szCs w:val="24"/>
              </w:rPr>
              <w:t>根据《环境影响评价技术导则 声环境》（HJ2.4-2021）中附录A推荐的预测方法，在环境影响评价中，应根据声源声功率级或参考位置处的声压级、户外声传播衰减，计算预测点的声级，参考声压级计算的方式如下：</w:t>
            </w:r>
          </w:p>
          <w:p>
            <w:pPr>
              <w:pStyle w:val="2"/>
              <w:jc w:val="center"/>
            </w:pPr>
            <w:r>
              <w:drawing>
                <wp:inline distT="0" distB="0" distL="114300" distR="114300">
                  <wp:extent cx="3495675" cy="238125"/>
                  <wp:effectExtent l="0" t="0" r="9525"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stretch>
                            <a:fillRect/>
                          </a:stretch>
                        </pic:blipFill>
                        <pic:spPr>
                          <a:xfrm>
                            <a:off x="0" y="0"/>
                            <a:ext cx="3495675" cy="23812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w:t>
            </w:r>
          </w:p>
          <w:p>
            <w:pPr>
              <w:adjustRightInd w:val="0"/>
              <w:snapToGrid w:val="0"/>
              <w:spacing w:line="360" w:lineRule="auto"/>
              <w:ind w:firstLine="480" w:firstLineChars="200"/>
              <w:rPr>
                <w:sz w:val="24"/>
                <w:szCs w:val="24"/>
              </w:rPr>
            </w:pPr>
            <w:r>
              <w:rPr>
                <w:rFonts w:hint="eastAsia"/>
                <w:sz w:val="24"/>
                <w:szCs w:val="24"/>
              </w:rPr>
              <w:t>Lp（r）—预测点处声压级，dB；</w:t>
            </w:r>
          </w:p>
          <w:p>
            <w:pPr>
              <w:adjustRightInd w:val="0"/>
              <w:snapToGrid w:val="0"/>
              <w:spacing w:line="360" w:lineRule="auto"/>
              <w:ind w:firstLine="480" w:firstLineChars="200"/>
              <w:rPr>
                <w:sz w:val="24"/>
                <w:szCs w:val="24"/>
              </w:rPr>
            </w:pPr>
            <w:r>
              <w:rPr>
                <w:rFonts w:hint="eastAsia"/>
                <w:sz w:val="24"/>
                <w:szCs w:val="24"/>
              </w:rPr>
              <w:t>Lp（r0）--参考位置r0处的声压级，dB；</w:t>
            </w:r>
          </w:p>
          <w:p>
            <w:pPr>
              <w:adjustRightInd w:val="0"/>
              <w:snapToGrid w:val="0"/>
              <w:spacing w:line="360" w:lineRule="auto"/>
              <w:ind w:firstLine="480" w:firstLineChars="200"/>
              <w:rPr>
                <w:sz w:val="24"/>
                <w:szCs w:val="24"/>
              </w:rPr>
            </w:pPr>
            <w:r>
              <w:rPr>
                <w:rFonts w:hint="eastAsia"/>
                <w:sz w:val="24"/>
                <w:szCs w:val="24"/>
              </w:rPr>
              <w:t>Dc—指向性校正，它描述点声源的等效连续声压级与产生声功率级Lw的全向点声源在规定方向的声级的偏差程度，dB；指向性校正等于点声源的指向性指数DI加上计到小于4π球面度（sr）立体角内的声传播指数DΩ。对辐射到自由空间的全向点声源，Dc=0dB(A)；</w:t>
            </w:r>
          </w:p>
          <w:p>
            <w:pPr>
              <w:adjustRightInd w:val="0"/>
              <w:snapToGrid w:val="0"/>
              <w:spacing w:line="360" w:lineRule="auto"/>
              <w:ind w:firstLine="480" w:firstLineChars="200"/>
              <w:rPr>
                <w:sz w:val="24"/>
                <w:szCs w:val="24"/>
              </w:rPr>
            </w:pPr>
            <w:r>
              <w:rPr>
                <w:rFonts w:hint="eastAsia"/>
                <w:sz w:val="24"/>
                <w:szCs w:val="24"/>
              </w:rPr>
              <w:t>Adiv—几何发散引起的衰减，dB(A)；</w:t>
            </w:r>
          </w:p>
          <w:p>
            <w:pPr>
              <w:adjustRightInd w:val="0"/>
              <w:snapToGrid w:val="0"/>
              <w:spacing w:line="360" w:lineRule="auto"/>
              <w:ind w:firstLine="480" w:firstLineChars="200"/>
              <w:rPr>
                <w:sz w:val="24"/>
                <w:szCs w:val="24"/>
              </w:rPr>
            </w:pPr>
            <w:r>
              <w:rPr>
                <w:rFonts w:hint="eastAsia"/>
                <w:sz w:val="24"/>
                <w:szCs w:val="24"/>
              </w:rPr>
              <w:t>Aatm—大气吸引引起的衰减，dB(A)；</w:t>
            </w:r>
          </w:p>
          <w:p>
            <w:pPr>
              <w:adjustRightInd w:val="0"/>
              <w:snapToGrid w:val="0"/>
              <w:spacing w:line="360" w:lineRule="auto"/>
              <w:ind w:firstLine="480" w:firstLineChars="200"/>
              <w:rPr>
                <w:sz w:val="24"/>
                <w:szCs w:val="24"/>
              </w:rPr>
            </w:pPr>
            <w:r>
              <w:rPr>
                <w:rFonts w:hint="eastAsia"/>
                <w:sz w:val="24"/>
                <w:szCs w:val="24"/>
              </w:rPr>
              <w:t>Agr—地面效应引起的衰减，dB(A)；</w:t>
            </w:r>
          </w:p>
          <w:p>
            <w:pPr>
              <w:adjustRightInd w:val="0"/>
              <w:snapToGrid w:val="0"/>
              <w:spacing w:line="360" w:lineRule="auto"/>
              <w:ind w:firstLine="480" w:firstLineChars="200"/>
              <w:rPr>
                <w:sz w:val="24"/>
                <w:szCs w:val="24"/>
              </w:rPr>
            </w:pPr>
            <w:r>
              <w:rPr>
                <w:rFonts w:hint="eastAsia"/>
                <w:sz w:val="24"/>
                <w:szCs w:val="24"/>
              </w:rPr>
              <w:t>Abar—障碍物屏蔽引起的衰减，dB；</w:t>
            </w:r>
          </w:p>
          <w:p>
            <w:pPr>
              <w:adjustRightInd w:val="0"/>
              <w:snapToGrid w:val="0"/>
              <w:spacing w:line="360" w:lineRule="auto"/>
              <w:ind w:firstLine="480" w:firstLineChars="200"/>
              <w:rPr>
                <w:sz w:val="24"/>
                <w:szCs w:val="24"/>
              </w:rPr>
            </w:pPr>
            <w:r>
              <w:rPr>
                <w:rFonts w:hint="eastAsia"/>
                <w:sz w:val="24"/>
                <w:szCs w:val="24"/>
              </w:rPr>
              <w:t>Amisc——其他多方面效应引起的衰减，dB。</w:t>
            </w:r>
          </w:p>
          <w:p>
            <w:pPr>
              <w:adjustRightInd w:val="0"/>
              <w:snapToGrid w:val="0"/>
              <w:spacing w:line="360" w:lineRule="auto"/>
              <w:ind w:firstLine="480" w:firstLineChars="200"/>
              <w:rPr>
                <w:sz w:val="24"/>
                <w:szCs w:val="24"/>
              </w:rPr>
            </w:pPr>
            <w:r>
              <w:rPr>
                <w:rFonts w:hint="eastAsia"/>
                <w:sz w:val="24"/>
                <w:szCs w:val="24"/>
              </w:rPr>
              <w:t>预测点的A声级LA(r)可按下式计算，即将8个倍频带声压级合成，计算出预测点的A声级[LA(r)]。</w:t>
            </w:r>
          </w:p>
          <w:p>
            <w:pPr>
              <w:autoSpaceDE w:val="0"/>
              <w:autoSpaceDN w:val="0"/>
              <w:adjustRightInd w:val="0"/>
              <w:spacing w:line="360" w:lineRule="auto"/>
              <w:jc w:val="center"/>
              <w:textAlignment w:val="bottom"/>
              <w:rPr>
                <w:sz w:val="24"/>
                <w:szCs w:val="24"/>
              </w:rPr>
            </w:pPr>
            <w:r>
              <w:rPr>
                <w:rFonts w:hint="eastAsia"/>
                <w:sz w:val="24"/>
                <w:szCs w:val="24"/>
              </w:rPr>
              <w:drawing>
                <wp:inline distT="0" distB="0" distL="114300" distR="114300">
                  <wp:extent cx="1847215" cy="428625"/>
                  <wp:effectExtent l="0" t="0" r="0" b="317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0"/>
                          <a:stretch>
                            <a:fillRect/>
                          </a:stretch>
                        </pic:blipFill>
                        <pic:spPr>
                          <a:xfrm>
                            <a:off x="0" y="0"/>
                            <a:ext cx="1847215" cy="42862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式中：LA(r)—距声源r处的A声级，dB(A)；</w:t>
            </w:r>
          </w:p>
          <w:p>
            <w:pPr>
              <w:adjustRightInd w:val="0"/>
              <w:snapToGrid w:val="0"/>
              <w:spacing w:line="360" w:lineRule="auto"/>
              <w:ind w:firstLine="1200" w:firstLineChars="500"/>
              <w:rPr>
                <w:sz w:val="24"/>
                <w:szCs w:val="24"/>
              </w:rPr>
            </w:pPr>
            <w:r>
              <w:rPr>
                <w:rFonts w:hint="eastAsia"/>
                <w:sz w:val="24"/>
                <w:szCs w:val="24"/>
              </w:rPr>
              <w:t>Lpi(r)—预测点（r）处，第i倍频带声压级，dB；</w:t>
            </w:r>
          </w:p>
          <w:p>
            <w:pPr>
              <w:adjustRightInd w:val="0"/>
              <w:snapToGrid w:val="0"/>
              <w:spacing w:line="360" w:lineRule="auto"/>
              <w:ind w:firstLine="1200" w:firstLineChars="500"/>
              <w:rPr>
                <w:sz w:val="24"/>
                <w:szCs w:val="24"/>
              </w:rPr>
            </w:pPr>
            <w:r>
              <w:rPr>
                <w:rFonts w:hint="eastAsia"/>
                <w:sz w:val="24"/>
                <w:szCs w:val="24"/>
              </w:rPr>
              <w:t>△Li—第i倍频带的A计权网络修正值，dB。</w:t>
            </w:r>
            <w:r>
              <w:rPr>
                <w:sz w:val="24"/>
                <w:szCs w:val="24"/>
              </w:rPr>
              <w:cr/>
            </w:r>
            <w:r>
              <w:rPr>
                <w:rFonts w:hint="eastAsia"/>
                <w:sz w:val="24"/>
                <w:szCs w:val="24"/>
              </w:rPr>
              <w:t xml:space="preserve">    在只考虑几何发散衰减时，可按下式计算。</w:t>
            </w:r>
          </w:p>
          <w:p>
            <w:pPr>
              <w:adjustRightInd w:val="0"/>
              <w:snapToGrid w:val="0"/>
              <w:spacing w:line="360" w:lineRule="auto"/>
              <w:ind w:firstLine="1200" w:firstLineChars="500"/>
              <w:jc w:val="center"/>
              <w:rPr>
                <w:sz w:val="24"/>
                <w:szCs w:val="24"/>
              </w:rPr>
            </w:pPr>
            <w:r>
              <w:rPr>
                <w:rFonts w:hint="eastAsia"/>
                <w:sz w:val="24"/>
                <w:szCs w:val="24"/>
              </w:rPr>
              <w:drawing>
                <wp:inline distT="0" distB="0" distL="114300" distR="114300">
                  <wp:extent cx="1208405" cy="230505"/>
                  <wp:effectExtent l="0" t="0" r="1079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1"/>
                          <a:stretch>
                            <a:fillRect/>
                          </a:stretch>
                        </pic:blipFill>
                        <pic:spPr>
                          <a:xfrm>
                            <a:off x="0" y="0"/>
                            <a:ext cx="1208405" cy="23050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式中：LA(r)—距声源r处的A声级，dB(A)；</w:t>
            </w:r>
          </w:p>
          <w:p>
            <w:pPr>
              <w:adjustRightInd w:val="0"/>
              <w:snapToGrid w:val="0"/>
              <w:spacing w:line="360" w:lineRule="auto"/>
              <w:ind w:firstLine="1200" w:firstLineChars="500"/>
              <w:rPr>
                <w:sz w:val="24"/>
                <w:szCs w:val="24"/>
              </w:rPr>
            </w:pPr>
            <w:r>
              <w:rPr>
                <w:rFonts w:hint="eastAsia"/>
                <w:sz w:val="24"/>
                <w:szCs w:val="24"/>
              </w:rPr>
              <w:t>LA(r0)—参考位置r0处的A声级，dB(A)；</w:t>
            </w:r>
          </w:p>
          <w:p>
            <w:pPr>
              <w:adjustRightInd w:val="0"/>
              <w:snapToGrid w:val="0"/>
              <w:spacing w:line="360" w:lineRule="auto"/>
              <w:ind w:firstLine="1200" w:firstLineChars="500"/>
              <w:rPr>
                <w:sz w:val="24"/>
                <w:szCs w:val="24"/>
              </w:rPr>
            </w:pPr>
            <w:r>
              <w:rPr>
                <w:rFonts w:hint="eastAsia"/>
                <w:sz w:val="24"/>
                <w:szCs w:val="24"/>
              </w:rPr>
              <w:t>Adiv—几何发散引起的衰减，dB。</w:t>
            </w:r>
            <w:r>
              <w:rPr>
                <w:sz w:val="24"/>
                <w:szCs w:val="24"/>
              </w:rPr>
              <w:cr/>
            </w:r>
            <w:r>
              <w:rPr>
                <w:rFonts w:hint="eastAsia"/>
                <w:sz w:val="24"/>
                <w:szCs w:val="24"/>
              </w:rPr>
              <w:t xml:space="preserve">    根据《环境影响评价技术导则 声环境》（HJ2.4-2021）中附录A内容，无指向性电声源几何发散衰减的基本公式如下：</w:t>
            </w:r>
          </w:p>
          <w:p>
            <w:pPr>
              <w:adjustRightInd w:val="0"/>
              <w:snapToGrid w:val="0"/>
              <w:spacing w:line="360" w:lineRule="auto"/>
              <w:ind w:firstLine="480" w:firstLineChars="200"/>
              <w:jc w:val="center"/>
              <w:rPr>
                <w:sz w:val="24"/>
                <w:szCs w:val="24"/>
              </w:rPr>
            </w:pPr>
            <w:r>
              <w:rPr>
                <w:sz w:val="24"/>
                <w:szCs w:val="24"/>
              </w:rPr>
              <w:drawing>
                <wp:inline distT="0" distB="0" distL="114300" distR="114300">
                  <wp:extent cx="1609725" cy="238125"/>
                  <wp:effectExtent l="0" t="0" r="3175" b="317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609725" cy="23812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式中：Lp(r)—预测点处声压级，dB；</w:t>
            </w:r>
          </w:p>
          <w:p>
            <w:pPr>
              <w:adjustRightInd w:val="0"/>
              <w:snapToGrid w:val="0"/>
              <w:spacing w:line="360" w:lineRule="auto"/>
              <w:ind w:firstLine="1200" w:firstLineChars="500"/>
              <w:rPr>
                <w:sz w:val="24"/>
                <w:szCs w:val="24"/>
              </w:rPr>
            </w:pPr>
            <w:r>
              <w:rPr>
                <w:rFonts w:hint="eastAsia"/>
                <w:sz w:val="24"/>
                <w:szCs w:val="24"/>
              </w:rPr>
              <w:t>Lp(r0)—参考位置r0处的声压级，dB；</w:t>
            </w:r>
          </w:p>
          <w:p>
            <w:pPr>
              <w:adjustRightInd w:val="0"/>
              <w:snapToGrid w:val="0"/>
              <w:spacing w:line="360" w:lineRule="auto"/>
              <w:ind w:firstLine="1200" w:firstLineChars="500"/>
              <w:rPr>
                <w:sz w:val="24"/>
                <w:szCs w:val="24"/>
              </w:rPr>
            </w:pPr>
            <w:r>
              <w:rPr>
                <w:rFonts w:hint="eastAsia"/>
                <w:sz w:val="24"/>
                <w:szCs w:val="24"/>
              </w:rPr>
              <w:t>r—预测点距声源的距离；</w:t>
            </w:r>
          </w:p>
          <w:p>
            <w:pPr>
              <w:adjustRightInd w:val="0"/>
              <w:snapToGrid w:val="0"/>
              <w:spacing w:line="360" w:lineRule="auto"/>
              <w:ind w:firstLine="1200" w:firstLineChars="500"/>
              <w:rPr>
                <w:sz w:val="24"/>
                <w:szCs w:val="24"/>
              </w:rPr>
            </w:pPr>
            <w:r>
              <w:rPr>
                <w:rFonts w:hint="eastAsia"/>
                <w:sz w:val="24"/>
                <w:szCs w:val="24"/>
              </w:rPr>
              <w:t>r0—参考位置距声源的距离。</w:t>
            </w:r>
          </w:p>
          <w:p>
            <w:pPr>
              <w:adjustRightInd w:val="0"/>
              <w:snapToGrid w:val="0"/>
              <w:spacing w:line="360" w:lineRule="auto"/>
              <w:ind w:firstLine="480" w:firstLineChars="200"/>
              <w:rPr>
                <w:sz w:val="24"/>
                <w:szCs w:val="24"/>
              </w:rPr>
            </w:pPr>
            <w:r>
              <w:rPr>
                <w:rFonts w:hint="eastAsia"/>
                <w:sz w:val="24"/>
                <w:szCs w:val="24"/>
              </w:rPr>
              <w:t>上式中第二项表示了点声源的几何发散衰减：</w:t>
            </w:r>
          </w:p>
          <w:p>
            <w:pPr>
              <w:adjustRightInd w:val="0"/>
              <w:snapToGrid w:val="0"/>
              <w:spacing w:line="360" w:lineRule="auto"/>
              <w:ind w:firstLine="480" w:firstLineChars="200"/>
              <w:jc w:val="center"/>
              <w:rPr>
                <w:sz w:val="24"/>
                <w:szCs w:val="24"/>
              </w:rPr>
            </w:pPr>
            <w:r>
              <w:rPr>
                <w:sz w:val="24"/>
                <w:szCs w:val="24"/>
              </w:rPr>
              <w:drawing>
                <wp:inline distT="0" distB="0" distL="114300" distR="114300">
                  <wp:extent cx="1019175" cy="257175"/>
                  <wp:effectExtent l="0" t="0" r="9525" b="952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3"/>
                          <a:stretch>
                            <a:fillRect/>
                          </a:stretch>
                        </pic:blipFill>
                        <pic:spPr>
                          <a:xfrm>
                            <a:off x="0" y="0"/>
                            <a:ext cx="1019175" cy="25717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式中：Adiv—几何发散引起的衰减，dB；</w:t>
            </w:r>
          </w:p>
          <w:p>
            <w:pPr>
              <w:adjustRightInd w:val="0"/>
              <w:snapToGrid w:val="0"/>
              <w:spacing w:line="360" w:lineRule="auto"/>
              <w:ind w:firstLine="960" w:firstLineChars="400"/>
              <w:rPr>
                <w:sz w:val="24"/>
                <w:szCs w:val="24"/>
              </w:rPr>
            </w:pPr>
            <w:r>
              <w:rPr>
                <w:rFonts w:hint="eastAsia"/>
                <w:sz w:val="24"/>
                <w:szCs w:val="24"/>
              </w:rPr>
              <w:t>r—预测点距声源的距离；</w:t>
            </w:r>
          </w:p>
          <w:p>
            <w:pPr>
              <w:adjustRightInd w:val="0"/>
              <w:snapToGrid w:val="0"/>
              <w:spacing w:line="360" w:lineRule="auto"/>
              <w:ind w:firstLine="960" w:firstLineChars="400"/>
              <w:rPr>
                <w:sz w:val="24"/>
                <w:szCs w:val="24"/>
              </w:rPr>
            </w:pPr>
            <w:r>
              <w:rPr>
                <w:rFonts w:hint="eastAsia"/>
                <w:sz w:val="24"/>
                <w:szCs w:val="24"/>
              </w:rPr>
              <w:t>r0—参考位置距声源的距离。</w:t>
            </w:r>
          </w:p>
          <w:p>
            <w:pPr>
              <w:adjustRightInd w:val="0"/>
              <w:snapToGrid w:val="0"/>
              <w:spacing w:line="360" w:lineRule="auto"/>
              <w:ind w:firstLine="480" w:firstLineChars="200"/>
              <w:rPr>
                <w:sz w:val="24"/>
                <w:szCs w:val="24"/>
              </w:rPr>
            </w:pPr>
            <w:r>
              <w:rPr>
                <w:rFonts w:hint="eastAsia"/>
                <w:sz w:val="24"/>
                <w:szCs w:val="24"/>
              </w:rPr>
              <w:t>已知点声源的倍频带声功率级或A计权声功率级（LAw），且声源处于自由声场，上式等效为：</w:t>
            </w:r>
          </w:p>
          <w:p>
            <w:pPr>
              <w:adjustRightInd w:val="0"/>
              <w:snapToGrid w:val="0"/>
              <w:spacing w:line="360" w:lineRule="auto"/>
              <w:ind w:firstLine="480" w:firstLineChars="200"/>
              <w:jc w:val="center"/>
              <w:rPr>
                <w:sz w:val="24"/>
                <w:szCs w:val="24"/>
              </w:rPr>
            </w:pPr>
            <w:r>
              <w:rPr>
                <w:sz w:val="24"/>
                <w:szCs w:val="24"/>
              </w:rPr>
              <w:drawing>
                <wp:inline distT="0" distB="0" distL="114300" distR="114300">
                  <wp:extent cx="1438275" cy="247650"/>
                  <wp:effectExtent l="0" t="0" r="9525" b="635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4"/>
                          <a:stretch>
                            <a:fillRect/>
                          </a:stretch>
                        </pic:blipFill>
                        <pic:spPr>
                          <a:xfrm>
                            <a:off x="0" y="0"/>
                            <a:ext cx="1438275" cy="247650"/>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式中：LA(r)—距声源r处的A声级，dB(A)；</w:t>
            </w:r>
          </w:p>
          <w:p>
            <w:pPr>
              <w:adjustRightInd w:val="0"/>
              <w:snapToGrid w:val="0"/>
              <w:spacing w:line="360" w:lineRule="auto"/>
              <w:ind w:firstLine="1200" w:firstLineChars="500"/>
              <w:rPr>
                <w:sz w:val="24"/>
                <w:szCs w:val="24"/>
              </w:rPr>
            </w:pPr>
            <w:r>
              <w:rPr>
                <w:rFonts w:hint="eastAsia"/>
                <w:sz w:val="24"/>
                <w:szCs w:val="24"/>
              </w:rPr>
              <w:t>LAw—点声源A计权声功率级，dB；</w:t>
            </w:r>
          </w:p>
          <w:p>
            <w:pPr>
              <w:adjustRightInd w:val="0"/>
              <w:snapToGrid w:val="0"/>
              <w:spacing w:line="360" w:lineRule="auto"/>
              <w:ind w:firstLine="1200" w:firstLineChars="500"/>
              <w:rPr>
                <w:sz w:val="24"/>
                <w:szCs w:val="24"/>
              </w:rPr>
            </w:pPr>
            <w:r>
              <w:rPr>
                <w:rFonts w:hint="eastAsia"/>
                <w:sz w:val="24"/>
                <w:szCs w:val="24"/>
              </w:rPr>
              <w:t>r—预测点距声源的距离。</w:t>
            </w:r>
          </w:p>
          <w:p>
            <w:pPr>
              <w:adjustRightInd w:val="0"/>
              <w:snapToGrid w:val="0"/>
              <w:spacing w:line="360" w:lineRule="auto"/>
              <w:ind w:firstLine="480" w:firstLineChars="200"/>
              <w:jc w:val="left"/>
            </w:pPr>
            <w:r>
              <w:rPr>
                <w:rFonts w:hint="eastAsia"/>
                <w:sz w:val="24"/>
                <w:szCs w:val="24"/>
              </w:rPr>
              <w:t>②室内声源等效室外声源声功率级计算方法</w:t>
            </w:r>
          </w:p>
          <w:p>
            <w:pPr>
              <w:adjustRightInd w:val="0"/>
              <w:snapToGrid w:val="0"/>
              <w:spacing w:line="360" w:lineRule="auto"/>
              <w:ind w:firstLine="420" w:firstLineChars="200"/>
              <w:jc w:val="center"/>
            </w:pPr>
            <w:r>
              <w:rPr>
                <w:rFonts w:hint="eastAsia"/>
              </w:rPr>
              <w:drawing>
                <wp:inline distT="0" distB="0" distL="114300" distR="114300">
                  <wp:extent cx="2343785" cy="1130300"/>
                  <wp:effectExtent l="0" t="0" r="5715"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5"/>
                          <a:srcRect t="3293" b="4721"/>
                          <a:stretch>
                            <a:fillRect/>
                          </a:stretch>
                        </pic:blipFill>
                        <pic:spPr>
                          <a:xfrm>
                            <a:off x="0" y="0"/>
                            <a:ext cx="2343785" cy="1130300"/>
                          </a:xfrm>
                          <a:prstGeom prst="rect">
                            <a:avLst/>
                          </a:prstGeom>
                          <a:noFill/>
                          <a:ln>
                            <a:noFill/>
                          </a:ln>
                        </pic:spPr>
                      </pic:pic>
                    </a:graphicData>
                  </a:graphic>
                </wp:inline>
              </w:drawing>
            </w:r>
          </w:p>
          <w:p>
            <w:pPr>
              <w:adjustRightInd w:val="0"/>
              <w:snapToGrid w:val="0"/>
              <w:spacing w:line="360" w:lineRule="auto"/>
              <w:jc w:val="center"/>
              <w:rPr>
                <w:b/>
                <w:bCs/>
              </w:rPr>
            </w:pPr>
            <w:r>
              <w:rPr>
                <w:rFonts w:hint="eastAsia"/>
                <w:b/>
                <w:bCs/>
              </w:rPr>
              <w:t>图7室内声源等效为室外声源图例</w:t>
            </w:r>
          </w:p>
          <w:p>
            <w:pPr>
              <w:adjustRightInd w:val="0"/>
              <w:snapToGrid w:val="0"/>
              <w:spacing w:line="360" w:lineRule="auto"/>
              <w:ind w:firstLine="420" w:firstLineChars="200"/>
              <w:rPr>
                <w:rFonts w:hint="eastAsia"/>
              </w:rPr>
            </w:pPr>
          </w:p>
          <w:p>
            <w:pPr>
              <w:adjustRightInd w:val="0"/>
              <w:snapToGrid w:val="0"/>
              <w:spacing w:line="360" w:lineRule="auto"/>
              <w:ind w:firstLine="480" w:firstLineChars="200"/>
              <w:rPr>
                <w:sz w:val="24"/>
                <w:szCs w:val="24"/>
              </w:rPr>
            </w:pPr>
            <w:r>
              <w:rPr>
                <w:rFonts w:hint="eastAsia"/>
                <w:sz w:val="24"/>
                <w:szCs w:val="24"/>
              </w:rPr>
              <w:t>如上图所示，声源位于室内，室内声源可采用等效室外声源声功率级法进行计算。设靠近开口处（或窗户）室内、室外某倍频带的声压级分别为Lp1和Lp2。若声源所在室内声场为近似扩散声场，则室外的倍频带声压级可按下式近似求出：</w:t>
            </w:r>
          </w:p>
          <w:p>
            <w:pPr>
              <w:autoSpaceDE w:val="0"/>
              <w:autoSpaceDN w:val="0"/>
              <w:adjustRightInd w:val="0"/>
              <w:spacing w:line="360" w:lineRule="auto"/>
              <w:jc w:val="center"/>
              <w:textAlignment w:val="bottom"/>
            </w:pPr>
            <w:r>
              <w:rPr>
                <w:rFonts w:hint="eastAsia"/>
              </w:rPr>
              <w:drawing>
                <wp:inline distT="0" distB="0" distL="114300" distR="114300">
                  <wp:extent cx="1248410" cy="238760"/>
                  <wp:effectExtent l="0" t="0" r="8890" b="254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6"/>
                          <a:stretch>
                            <a:fillRect/>
                          </a:stretch>
                        </pic:blipFill>
                        <pic:spPr>
                          <a:xfrm>
                            <a:off x="0" y="0"/>
                            <a:ext cx="1248410" cy="238760"/>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式中：Lp1—靠近开口处（或窗户）室内某倍频带的声压级或A声级，dB；</w:t>
            </w:r>
          </w:p>
          <w:p>
            <w:pPr>
              <w:adjustRightInd w:val="0"/>
              <w:snapToGrid w:val="0"/>
              <w:spacing w:line="360" w:lineRule="auto"/>
              <w:ind w:firstLine="1200" w:firstLineChars="500"/>
              <w:rPr>
                <w:sz w:val="24"/>
                <w:szCs w:val="24"/>
              </w:rPr>
            </w:pPr>
            <w:r>
              <w:rPr>
                <w:rFonts w:hint="eastAsia"/>
                <w:sz w:val="24"/>
                <w:szCs w:val="24"/>
              </w:rPr>
              <w:t>Lp2—靠近开口处（或窗户）室外某倍频带的声压级或A声级，dB；</w:t>
            </w:r>
          </w:p>
          <w:p>
            <w:pPr>
              <w:adjustRightInd w:val="0"/>
              <w:snapToGrid w:val="0"/>
              <w:spacing w:line="360" w:lineRule="auto"/>
              <w:ind w:firstLine="1200" w:firstLineChars="500"/>
              <w:rPr>
                <w:sz w:val="24"/>
                <w:szCs w:val="24"/>
              </w:rPr>
            </w:pPr>
            <w:r>
              <w:rPr>
                <w:rFonts w:hint="eastAsia"/>
                <w:sz w:val="24"/>
                <w:szCs w:val="24"/>
              </w:rPr>
              <w:t>TL—隔墙（或窗户）倍频带或A声级的隔声量，dB。</w:t>
            </w:r>
          </w:p>
          <w:p>
            <w:pPr>
              <w:adjustRightInd w:val="0"/>
              <w:snapToGrid w:val="0"/>
              <w:spacing w:line="360" w:lineRule="auto"/>
              <w:ind w:firstLine="456" w:firstLineChars="200"/>
              <w:jc w:val="center"/>
            </w:pPr>
            <w:r>
              <w:rPr>
                <w:rFonts w:hint="default" w:asciiTheme="minorAscii" w:hAnsiTheme="minorAscii" w:eastAsiaTheme="minorEastAsia"/>
                <w:spacing w:val="-6"/>
                <w:sz w:val="24"/>
                <w:szCs w:val="24"/>
              </w:rPr>
              <w:t>然后按下式计算出所有室内声源在围护结构处产生的i倍频带叠加声压级</w:t>
            </w:r>
            <w:r>
              <w:rPr>
                <w:rFonts w:hint="default" w:asciiTheme="minorAscii" w:hAnsiTheme="minorAscii" w:eastAsiaTheme="minorEastAsia"/>
                <w:spacing w:val="-6"/>
              </w:rPr>
              <w:t>：</w:t>
            </w:r>
            <w:r>
              <w:cr/>
            </w:r>
            <w:r>
              <w:rPr>
                <w:rFonts w:hint="eastAsia"/>
              </w:rPr>
              <w:drawing>
                <wp:inline distT="0" distB="0" distL="114300" distR="114300">
                  <wp:extent cx="1685290" cy="485140"/>
                  <wp:effectExtent l="0" t="0" r="3810" b="1016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27"/>
                          <a:stretch>
                            <a:fillRect/>
                          </a:stretch>
                        </pic:blipFill>
                        <pic:spPr>
                          <a:xfrm>
                            <a:off x="0" y="0"/>
                            <a:ext cx="1685290" cy="485140"/>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式中：LP1i(T)—靠近围护结构处室内N个声源i倍频带的叠加声压级，dB(A)；</w:t>
            </w:r>
          </w:p>
          <w:p>
            <w:pPr>
              <w:adjustRightInd w:val="0"/>
              <w:snapToGrid w:val="0"/>
              <w:spacing w:line="360" w:lineRule="auto"/>
              <w:ind w:firstLine="1200" w:firstLineChars="500"/>
              <w:rPr>
                <w:sz w:val="24"/>
                <w:szCs w:val="24"/>
              </w:rPr>
            </w:pPr>
            <w:r>
              <w:rPr>
                <w:rFonts w:hint="eastAsia"/>
                <w:sz w:val="24"/>
                <w:szCs w:val="24"/>
              </w:rPr>
              <w:t>LP1ij—室内j声源i倍频带的声压级，dB(A)；</w:t>
            </w:r>
          </w:p>
          <w:p>
            <w:pPr>
              <w:adjustRightInd w:val="0"/>
              <w:snapToGrid w:val="0"/>
              <w:spacing w:line="360" w:lineRule="auto"/>
              <w:ind w:firstLine="1200" w:firstLineChars="500"/>
              <w:rPr>
                <w:sz w:val="24"/>
                <w:szCs w:val="24"/>
              </w:rPr>
            </w:pPr>
            <w:r>
              <w:rPr>
                <w:rFonts w:hint="eastAsia"/>
                <w:sz w:val="24"/>
                <w:szCs w:val="24"/>
              </w:rPr>
              <w:t>N—室内声源总数。</w:t>
            </w:r>
          </w:p>
          <w:p>
            <w:pPr>
              <w:adjustRightInd w:val="0"/>
              <w:snapToGrid w:val="0"/>
              <w:spacing w:line="360" w:lineRule="auto"/>
              <w:ind w:firstLine="480" w:firstLineChars="200"/>
              <w:rPr>
                <w:sz w:val="24"/>
                <w:szCs w:val="24"/>
              </w:rPr>
            </w:pPr>
            <w:r>
              <w:rPr>
                <w:rFonts w:hint="eastAsia"/>
                <w:sz w:val="24"/>
                <w:szCs w:val="24"/>
              </w:rPr>
              <w:t>在室内近似为扩散声场时，按下式计算出靠近室外围护结构处的声压级：</w:t>
            </w:r>
          </w:p>
          <w:p>
            <w:pPr>
              <w:autoSpaceDE w:val="0"/>
              <w:autoSpaceDN w:val="0"/>
              <w:adjustRightInd w:val="0"/>
              <w:spacing w:line="360" w:lineRule="auto"/>
              <w:jc w:val="center"/>
              <w:textAlignment w:val="bottom"/>
            </w:pPr>
            <w:r>
              <w:rPr>
                <w:rFonts w:hint="eastAsia"/>
              </w:rPr>
              <w:drawing>
                <wp:inline distT="0" distB="0" distL="114300" distR="114300">
                  <wp:extent cx="1725295" cy="230505"/>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28"/>
                          <a:stretch>
                            <a:fillRect/>
                          </a:stretch>
                        </pic:blipFill>
                        <pic:spPr>
                          <a:xfrm>
                            <a:off x="0" y="0"/>
                            <a:ext cx="1725295" cy="23050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式中：Lp</w:t>
            </w:r>
            <w:r>
              <w:rPr>
                <w:sz w:val="24"/>
                <w:szCs w:val="24"/>
              </w:rPr>
              <w:t>2</w:t>
            </w:r>
            <w:r>
              <w:rPr>
                <w:rFonts w:hint="eastAsia"/>
                <w:sz w:val="24"/>
                <w:szCs w:val="24"/>
              </w:rPr>
              <w:t>(T)—靠近围护结构处室外N个声源i倍频带的叠加声压级，dB；</w:t>
            </w:r>
          </w:p>
          <w:p>
            <w:pPr>
              <w:adjustRightInd w:val="0"/>
              <w:snapToGrid w:val="0"/>
              <w:spacing w:line="360" w:lineRule="auto"/>
              <w:ind w:firstLine="960" w:firstLineChars="400"/>
              <w:rPr>
                <w:sz w:val="24"/>
                <w:szCs w:val="24"/>
              </w:rPr>
            </w:pPr>
            <w:r>
              <w:rPr>
                <w:sz w:val="24"/>
                <w:szCs w:val="24"/>
              </w:rPr>
              <w:t>L</w:t>
            </w:r>
            <w:r>
              <w:rPr>
                <w:rFonts w:hint="eastAsia"/>
                <w:sz w:val="24"/>
                <w:szCs w:val="24"/>
              </w:rPr>
              <w:t>P</w:t>
            </w:r>
            <w:r>
              <w:rPr>
                <w:sz w:val="24"/>
                <w:szCs w:val="24"/>
              </w:rPr>
              <w:t>li</w:t>
            </w:r>
            <w:r>
              <w:rPr>
                <w:rFonts w:hint="eastAsia"/>
                <w:sz w:val="24"/>
                <w:szCs w:val="24"/>
              </w:rPr>
              <w:t>（T）</w:t>
            </w:r>
            <w:r>
              <w:rPr>
                <w:sz w:val="24"/>
                <w:szCs w:val="24"/>
              </w:rPr>
              <w:t>—</w:t>
            </w:r>
            <w:r>
              <w:rPr>
                <w:rFonts w:hint="eastAsia"/>
                <w:sz w:val="24"/>
                <w:szCs w:val="24"/>
              </w:rPr>
              <w:t>靠近围护结构处室内</w:t>
            </w:r>
            <w:r>
              <w:rPr>
                <w:sz w:val="24"/>
                <w:szCs w:val="24"/>
              </w:rPr>
              <w:t>N</w:t>
            </w:r>
            <w:r>
              <w:rPr>
                <w:rFonts w:hint="eastAsia"/>
                <w:sz w:val="24"/>
                <w:szCs w:val="24"/>
              </w:rPr>
              <w:t>个声源</w:t>
            </w:r>
            <w:r>
              <w:rPr>
                <w:sz w:val="24"/>
                <w:szCs w:val="24"/>
              </w:rPr>
              <w:t>i</w:t>
            </w:r>
            <w:r>
              <w:rPr>
                <w:rFonts w:hint="eastAsia"/>
                <w:sz w:val="24"/>
                <w:szCs w:val="24"/>
              </w:rPr>
              <w:t>倍频带的叠加声压级，</w:t>
            </w:r>
            <w:r>
              <w:rPr>
                <w:sz w:val="24"/>
                <w:szCs w:val="24"/>
              </w:rPr>
              <w:t>dB</w:t>
            </w:r>
            <w:r>
              <w:rPr>
                <w:rFonts w:hint="eastAsia"/>
                <w:sz w:val="24"/>
                <w:szCs w:val="24"/>
              </w:rPr>
              <w:t>；</w:t>
            </w:r>
          </w:p>
          <w:p>
            <w:pPr>
              <w:adjustRightInd w:val="0"/>
              <w:snapToGrid w:val="0"/>
              <w:spacing w:line="360" w:lineRule="auto"/>
              <w:ind w:firstLine="960" w:firstLineChars="400"/>
              <w:rPr>
                <w:sz w:val="24"/>
                <w:szCs w:val="24"/>
              </w:rPr>
            </w:pPr>
            <w:r>
              <w:rPr>
                <w:rFonts w:hint="eastAsia"/>
                <w:sz w:val="24"/>
                <w:szCs w:val="24"/>
              </w:rPr>
              <w:t>TLi—围护结构i倍频带的隔声量，dB。</w:t>
            </w:r>
          </w:p>
          <w:p>
            <w:pPr>
              <w:adjustRightInd w:val="0"/>
              <w:snapToGrid w:val="0"/>
              <w:spacing w:line="360" w:lineRule="auto"/>
              <w:ind w:firstLine="480" w:firstLineChars="200"/>
              <w:rPr>
                <w:sz w:val="24"/>
                <w:szCs w:val="24"/>
              </w:rPr>
            </w:pPr>
            <w:r>
              <w:rPr>
                <w:rFonts w:hint="eastAsia"/>
                <w:sz w:val="24"/>
                <w:szCs w:val="24"/>
              </w:rPr>
              <w:t>然后按下式将室外声源的声压级和透过面积换算成等效的室外声源，计算出中心位置位于透声面积（S）处的等效声源的倍频带声功率级。</w:t>
            </w:r>
          </w:p>
          <w:p>
            <w:pPr>
              <w:adjustRightInd w:val="0"/>
              <w:snapToGrid w:val="0"/>
              <w:spacing w:line="360" w:lineRule="auto"/>
              <w:jc w:val="center"/>
            </w:pPr>
            <w:r>
              <w:rPr>
                <w:rFonts w:hint="eastAsia"/>
              </w:rPr>
              <w:drawing>
                <wp:inline distT="0" distB="0" distL="114300" distR="114300">
                  <wp:extent cx="1295400" cy="230505"/>
                  <wp:effectExtent l="0" t="0" r="0"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29"/>
                          <a:stretch>
                            <a:fillRect/>
                          </a:stretch>
                        </pic:blipFill>
                        <pic:spPr>
                          <a:xfrm>
                            <a:off x="0" y="0"/>
                            <a:ext cx="1295400" cy="230505"/>
                          </a:xfrm>
                          <a:prstGeom prst="rect">
                            <a:avLst/>
                          </a:prstGeom>
                          <a:noFill/>
                          <a:ln>
                            <a:noFill/>
                          </a:ln>
                        </pic:spPr>
                      </pic:pic>
                    </a:graphicData>
                  </a:graphic>
                </wp:inline>
              </w:drawing>
            </w:r>
          </w:p>
          <w:p>
            <w:pPr>
              <w:adjustRightInd w:val="0"/>
              <w:snapToGrid w:val="0"/>
              <w:spacing w:line="360" w:lineRule="auto"/>
              <w:ind w:firstLine="456" w:firstLineChars="200"/>
              <w:rPr>
                <w:rFonts w:hint="default" w:asciiTheme="minorAscii" w:hAnsiTheme="minorAscii" w:eastAsiaTheme="minorEastAsia"/>
                <w:spacing w:val="-6"/>
                <w:sz w:val="24"/>
                <w:szCs w:val="24"/>
              </w:rPr>
            </w:pPr>
            <w:r>
              <w:rPr>
                <w:rFonts w:hint="default" w:asciiTheme="minorAscii" w:hAnsiTheme="minorAscii" w:eastAsiaTheme="minorEastAsia"/>
                <w:spacing w:val="-6"/>
                <w:sz w:val="24"/>
                <w:szCs w:val="24"/>
              </w:rPr>
              <w:t>式中：Lw—中心位置位于透声面积（S）处的等效声源的倍频带声功率级，dB；</w:t>
            </w:r>
          </w:p>
          <w:p>
            <w:pPr>
              <w:adjustRightInd w:val="0"/>
              <w:snapToGrid w:val="0"/>
              <w:spacing w:line="360" w:lineRule="auto"/>
              <w:ind w:firstLine="1200" w:firstLineChars="500"/>
              <w:rPr>
                <w:sz w:val="24"/>
                <w:szCs w:val="24"/>
              </w:rPr>
            </w:pPr>
            <w:r>
              <w:rPr>
                <w:rFonts w:hint="eastAsia"/>
                <w:sz w:val="24"/>
                <w:szCs w:val="24"/>
              </w:rPr>
              <w:t>LP2(T)—靠近围护结构处室外声源的声压级，dB；</w:t>
            </w:r>
          </w:p>
          <w:p>
            <w:pPr>
              <w:adjustRightInd w:val="0"/>
              <w:snapToGrid w:val="0"/>
              <w:spacing w:line="360" w:lineRule="auto"/>
              <w:ind w:firstLine="1200" w:firstLineChars="500"/>
              <w:rPr>
                <w:sz w:val="24"/>
                <w:szCs w:val="24"/>
              </w:rPr>
            </w:pPr>
            <w:r>
              <w:rPr>
                <w:rFonts w:hint="eastAsia"/>
                <w:sz w:val="24"/>
                <w:szCs w:val="24"/>
              </w:rPr>
              <w:t>S—透声面积，m</w:t>
            </w:r>
            <w:r>
              <w:rPr>
                <w:rFonts w:hint="eastAsia"/>
                <w:sz w:val="24"/>
                <w:szCs w:val="24"/>
                <w:vertAlign w:val="superscript"/>
              </w:rPr>
              <w:t>2</w:t>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然后按室外声源预测方法计算预测点处的A声级。</w:t>
            </w:r>
          </w:p>
          <w:p>
            <w:pPr>
              <w:adjustRightInd w:val="0"/>
              <w:snapToGrid w:val="0"/>
              <w:spacing w:line="360" w:lineRule="auto"/>
              <w:ind w:firstLine="480" w:firstLineChars="200"/>
              <w:rPr>
                <w:sz w:val="24"/>
                <w:szCs w:val="24"/>
              </w:rPr>
            </w:pPr>
            <w:r>
              <w:rPr>
                <w:rFonts w:hint="eastAsia"/>
                <w:sz w:val="24"/>
                <w:szCs w:val="24"/>
              </w:rPr>
              <w:t>③设第i个室外声源在预测点产生的A声级为LAi，在T时间内该声源工作时间为ti；第j个等效室外声源在预测点产生的A声级为LAj，在T时间内该声源工作时间为tj，则拟建工程声源对预测点产生的贡献值（Leqg）为：</w:t>
            </w:r>
          </w:p>
          <w:p>
            <w:pPr>
              <w:adjustRightInd w:val="0"/>
              <w:snapToGrid w:val="0"/>
              <w:spacing w:line="360" w:lineRule="auto"/>
              <w:ind w:firstLine="420" w:firstLineChars="200"/>
              <w:jc w:val="center"/>
            </w:pPr>
            <w:r>
              <w:drawing>
                <wp:inline distT="0" distB="0" distL="114300" distR="114300">
                  <wp:extent cx="2677160" cy="598805"/>
                  <wp:effectExtent l="0" t="0" r="2540" b="1079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30"/>
                          <a:stretch>
                            <a:fillRect/>
                          </a:stretch>
                        </pic:blipFill>
                        <pic:spPr>
                          <a:xfrm>
                            <a:off x="0" y="0"/>
                            <a:ext cx="2677160" cy="59880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式中：Leqg—建设项目声源在预测点产生的噪声贡献值，dB；</w:t>
            </w:r>
          </w:p>
          <w:p>
            <w:pPr>
              <w:adjustRightInd w:val="0"/>
              <w:snapToGrid w:val="0"/>
              <w:spacing w:line="360" w:lineRule="auto"/>
              <w:ind w:firstLine="1200" w:firstLineChars="500"/>
              <w:rPr>
                <w:sz w:val="24"/>
                <w:szCs w:val="24"/>
              </w:rPr>
            </w:pPr>
            <w:r>
              <w:rPr>
                <w:rFonts w:hint="eastAsia"/>
                <w:sz w:val="24"/>
                <w:szCs w:val="24"/>
              </w:rPr>
              <w:t>ti—在T时间内i声源的工作时间，s</w:t>
            </w:r>
          </w:p>
          <w:p>
            <w:pPr>
              <w:adjustRightInd w:val="0"/>
              <w:snapToGrid w:val="0"/>
              <w:spacing w:line="360" w:lineRule="auto"/>
              <w:ind w:firstLine="480" w:firstLineChars="200"/>
              <w:rPr>
                <w:sz w:val="24"/>
                <w:szCs w:val="24"/>
              </w:rPr>
            </w:pPr>
            <w:r>
              <w:rPr>
                <w:sz w:val="24"/>
                <w:szCs w:val="24"/>
              </w:rPr>
              <w:t>t</w:t>
            </w:r>
            <w:r>
              <w:rPr>
                <w:rFonts w:hint="eastAsia"/>
                <w:sz w:val="24"/>
                <w:szCs w:val="24"/>
              </w:rPr>
              <w:t>j—在T时间内j声源的工作时间，s</w:t>
            </w:r>
          </w:p>
          <w:p>
            <w:pPr>
              <w:adjustRightInd w:val="0"/>
              <w:snapToGrid w:val="0"/>
              <w:spacing w:line="360" w:lineRule="auto"/>
              <w:ind w:firstLine="480" w:firstLineChars="200"/>
              <w:rPr>
                <w:sz w:val="24"/>
                <w:szCs w:val="24"/>
              </w:rPr>
            </w:pPr>
            <w:r>
              <w:rPr>
                <w:rFonts w:hint="eastAsia"/>
                <w:sz w:val="24"/>
                <w:szCs w:val="24"/>
              </w:rPr>
              <w:t xml:space="preserve">      T—用于计算等效声级的时间，s</w:t>
            </w:r>
          </w:p>
          <w:p>
            <w:pPr>
              <w:adjustRightInd w:val="0"/>
              <w:snapToGrid w:val="0"/>
              <w:spacing w:line="360" w:lineRule="auto"/>
              <w:ind w:firstLine="480" w:firstLineChars="200"/>
              <w:rPr>
                <w:sz w:val="24"/>
                <w:szCs w:val="24"/>
              </w:rPr>
            </w:pPr>
            <w:r>
              <w:rPr>
                <w:rFonts w:hint="eastAsia"/>
                <w:sz w:val="24"/>
                <w:szCs w:val="24"/>
              </w:rPr>
              <w:t xml:space="preserve">      N—室外声源个数；</w:t>
            </w:r>
          </w:p>
          <w:p>
            <w:pPr>
              <w:adjustRightInd w:val="0"/>
              <w:snapToGrid w:val="0"/>
              <w:spacing w:line="360" w:lineRule="auto"/>
              <w:ind w:firstLine="480" w:firstLineChars="200"/>
              <w:rPr>
                <w:sz w:val="24"/>
                <w:szCs w:val="24"/>
              </w:rPr>
            </w:pPr>
            <w:r>
              <w:rPr>
                <w:rFonts w:hint="eastAsia"/>
                <w:sz w:val="24"/>
                <w:szCs w:val="24"/>
              </w:rPr>
              <w:t xml:space="preserve">      M—等效室外声源个数。</w:t>
            </w:r>
          </w:p>
          <w:p>
            <w:pPr>
              <w:adjustRightInd w:val="0"/>
              <w:snapToGrid w:val="0"/>
              <w:spacing w:line="360" w:lineRule="auto"/>
              <w:ind w:firstLine="480" w:firstLineChars="200"/>
              <w:rPr>
                <w:b w:val="0"/>
                <w:bCs w:val="0"/>
                <w:sz w:val="24"/>
                <w:szCs w:val="24"/>
              </w:rPr>
            </w:pPr>
            <w:r>
              <w:rPr>
                <w:rFonts w:hint="eastAsia"/>
                <w:b w:val="0"/>
                <w:bCs w:val="0"/>
                <w:sz w:val="24"/>
                <w:szCs w:val="24"/>
              </w:rPr>
              <w:t>④预测范围</w:t>
            </w:r>
          </w:p>
          <w:p>
            <w:pPr>
              <w:adjustRightInd w:val="0"/>
              <w:snapToGrid w:val="0"/>
              <w:spacing w:line="360" w:lineRule="auto"/>
              <w:ind w:firstLine="480" w:firstLineChars="200"/>
              <w:rPr>
                <w:b w:val="0"/>
                <w:bCs w:val="0"/>
                <w:sz w:val="24"/>
                <w:szCs w:val="24"/>
              </w:rPr>
            </w:pPr>
            <w:r>
              <w:rPr>
                <w:rFonts w:hint="eastAsia"/>
                <w:b w:val="0"/>
                <w:bCs w:val="0"/>
                <w:sz w:val="24"/>
                <w:szCs w:val="24"/>
              </w:rPr>
              <w:t>噪声影响评价主要预测的厂区内本项目的设备噪声对厂界的影响，并对本该影响作出评价。</w:t>
            </w:r>
          </w:p>
          <w:p>
            <w:pPr>
              <w:adjustRightInd w:val="0"/>
              <w:snapToGrid w:val="0"/>
              <w:spacing w:line="360" w:lineRule="auto"/>
              <w:ind w:firstLine="480" w:firstLineChars="200"/>
              <w:rPr>
                <w:b w:val="0"/>
                <w:bCs w:val="0"/>
                <w:sz w:val="24"/>
                <w:szCs w:val="24"/>
              </w:rPr>
            </w:pPr>
            <w:r>
              <w:rPr>
                <w:rFonts w:hint="eastAsia"/>
                <w:b w:val="0"/>
                <w:bCs w:val="0"/>
                <w:sz w:val="24"/>
                <w:szCs w:val="24"/>
              </w:rPr>
              <w:t>⑤预测参数</w:t>
            </w:r>
          </w:p>
          <w:p>
            <w:pPr>
              <w:adjustRightInd w:val="0"/>
              <w:snapToGrid w:val="0"/>
              <w:spacing w:line="360" w:lineRule="auto"/>
              <w:ind w:firstLine="480"/>
              <w:rPr>
                <w:sz w:val="24"/>
                <w:szCs w:val="24"/>
              </w:rPr>
            </w:pPr>
            <w:r>
              <w:rPr>
                <w:rFonts w:hint="eastAsia"/>
                <w:sz w:val="24"/>
                <w:szCs w:val="24"/>
              </w:rPr>
              <w:t>本项目主要噪声防治措施为采用符合国家标准的低噪声设备进行生产，针对产噪设备（压块</w:t>
            </w:r>
            <w:r>
              <w:rPr>
                <w:sz w:val="24"/>
                <w:szCs w:val="24"/>
              </w:rPr>
              <w:t>设备</w:t>
            </w:r>
            <w:r>
              <w:rPr>
                <w:rFonts w:hint="eastAsia"/>
                <w:sz w:val="24"/>
                <w:szCs w:val="24"/>
              </w:rPr>
              <w:t>、剪切设备</w:t>
            </w:r>
            <w:r>
              <w:rPr>
                <w:sz w:val="24"/>
                <w:szCs w:val="24"/>
              </w:rPr>
              <w:t>等设备</w:t>
            </w:r>
            <w:r>
              <w:rPr>
                <w:rFonts w:hint="eastAsia"/>
                <w:sz w:val="24"/>
                <w:szCs w:val="24"/>
              </w:rPr>
              <w:t>）安装减震垫，在车间墙体安装隔音装置，利用厂房墙体隔音。</w:t>
            </w:r>
          </w:p>
          <w:p>
            <w:pPr>
              <w:spacing w:line="360" w:lineRule="auto"/>
              <w:ind w:firstLine="480" w:firstLineChars="200"/>
            </w:pPr>
            <w:r>
              <w:rPr>
                <w:rFonts w:hint="eastAsia"/>
                <w:sz w:val="24"/>
                <w:szCs w:val="24"/>
              </w:rPr>
              <w:t>预测计算中只考虑主要噪声源围护效应和声源至受声点的距离衰减的主要衰减因子。本项目主要噪声设备均位于拆解车间内部，项目主要设备噪声源强及控制措施详见下表。</w:t>
            </w:r>
          </w:p>
          <w:p>
            <w:pPr>
              <w:pStyle w:val="10"/>
              <w:adjustRightInd w:val="0"/>
              <w:spacing w:after="0" w:line="360" w:lineRule="auto"/>
              <w:jc w:val="right"/>
              <w:rPr>
                <w:b/>
                <w:bCs/>
              </w:rPr>
            </w:pPr>
            <w:r>
              <w:rPr>
                <w:rFonts w:hint="eastAsia"/>
                <w:b/>
                <w:bCs/>
              </w:rPr>
              <w:t>表4</w:t>
            </w:r>
            <w:r>
              <w:rPr>
                <w:rFonts w:hint="eastAsia"/>
                <w:b/>
                <w:bCs/>
                <w:lang w:val="en-US" w:eastAsia="zh-CN"/>
              </w:rPr>
              <w:t>2</w:t>
            </w:r>
            <w:r>
              <w:rPr>
                <w:rFonts w:hint="eastAsia"/>
                <w:b/>
                <w:bCs/>
              </w:rPr>
              <w:t xml:space="preserve">  项目主要设备噪声及控制措施表        单位：dB(A)</w:t>
            </w:r>
          </w:p>
          <w:tbl>
            <w:tblPr>
              <w:tblStyle w:val="25"/>
              <w:tblW w:w="83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44"/>
              <w:gridCol w:w="709"/>
              <w:gridCol w:w="709"/>
              <w:gridCol w:w="992"/>
              <w:gridCol w:w="807"/>
              <w:gridCol w:w="752"/>
              <w:gridCol w:w="1337"/>
              <w:gridCol w:w="12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2" w:hRule="atLeast"/>
                <w:jc w:val="center"/>
              </w:trPr>
              <w:tc>
                <w:tcPr>
                  <w:tcW w:w="650" w:type="dxa"/>
                  <w:noWrap/>
                  <w:vAlign w:val="center"/>
                </w:tcPr>
                <w:p>
                  <w:pPr>
                    <w:adjustRightInd w:val="0"/>
                    <w:snapToGrid w:val="0"/>
                    <w:jc w:val="center"/>
                    <w:rPr>
                      <w:b/>
                      <w:bCs/>
                    </w:rPr>
                  </w:pPr>
                  <w:r>
                    <w:rPr>
                      <w:rFonts w:hint="eastAsia"/>
                      <w:b/>
                      <w:bCs/>
                    </w:rPr>
                    <w:t>序号</w:t>
                  </w:r>
                </w:p>
              </w:tc>
              <w:tc>
                <w:tcPr>
                  <w:tcW w:w="1144" w:type="dxa"/>
                  <w:noWrap/>
                  <w:vAlign w:val="center"/>
                </w:tcPr>
                <w:p>
                  <w:pPr>
                    <w:adjustRightInd w:val="0"/>
                    <w:snapToGrid w:val="0"/>
                    <w:jc w:val="center"/>
                    <w:rPr>
                      <w:b/>
                      <w:bCs/>
                    </w:rPr>
                  </w:pPr>
                  <w:r>
                    <w:rPr>
                      <w:rFonts w:hint="eastAsia"/>
                      <w:b/>
                      <w:bCs/>
                    </w:rPr>
                    <w:t>设备名称</w:t>
                  </w:r>
                </w:p>
              </w:tc>
              <w:tc>
                <w:tcPr>
                  <w:tcW w:w="709" w:type="dxa"/>
                  <w:noWrap/>
                  <w:vAlign w:val="center"/>
                </w:tcPr>
                <w:p>
                  <w:pPr>
                    <w:adjustRightInd w:val="0"/>
                    <w:snapToGrid w:val="0"/>
                    <w:jc w:val="center"/>
                    <w:rPr>
                      <w:b/>
                      <w:bCs/>
                    </w:rPr>
                  </w:pPr>
                  <w:r>
                    <w:rPr>
                      <w:rFonts w:hint="eastAsia"/>
                      <w:b/>
                      <w:bCs/>
                    </w:rPr>
                    <w:t>数量</w:t>
                  </w:r>
                </w:p>
              </w:tc>
              <w:tc>
                <w:tcPr>
                  <w:tcW w:w="709" w:type="dxa"/>
                  <w:noWrap/>
                  <w:vAlign w:val="center"/>
                </w:tcPr>
                <w:p>
                  <w:pPr>
                    <w:adjustRightInd w:val="0"/>
                    <w:snapToGrid w:val="0"/>
                    <w:jc w:val="center"/>
                    <w:rPr>
                      <w:b/>
                      <w:bCs/>
                    </w:rPr>
                  </w:pPr>
                  <w:r>
                    <w:rPr>
                      <w:rFonts w:hint="eastAsia"/>
                      <w:b/>
                      <w:bCs/>
                    </w:rPr>
                    <w:t>噪声源强</w:t>
                  </w:r>
                </w:p>
              </w:tc>
              <w:tc>
                <w:tcPr>
                  <w:tcW w:w="992" w:type="dxa"/>
                  <w:noWrap/>
                  <w:vAlign w:val="center"/>
                </w:tcPr>
                <w:p>
                  <w:pPr>
                    <w:adjustRightInd w:val="0"/>
                    <w:snapToGrid w:val="0"/>
                    <w:jc w:val="center"/>
                    <w:rPr>
                      <w:b/>
                      <w:bCs/>
                    </w:rPr>
                  </w:pPr>
                  <w:r>
                    <w:rPr>
                      <w:b/>
                      <w:bCs/>
                    </w:rPr>
                    <w:t>设备与墙体距离</w:t>
                  </w:r>
                </w:p>
              </w:tc>
              <w:tc>
                <w:tcPr>
                  <w:tcW w:w="807" w:type="dxa"/>
                  <w:noWrap/>
                  <w:vAlign w:val="center"/>
                </w:tcPr>
                <w:p>
                  <w:pPr>
                    <w:adjustRightInd w:val="0"/>
                    <w:snapToGrid w:val="0"/>
                    <w:jc w:val="center"/>
                    <w:rPr>
                      <w:b/>
                      <w:bCs/>
                    </w:rPr>
                  </w:pPr>
                  <w:r>
                    <w:rPr>
                      <w:b/>
                      <w:bCs/>
                    </w:rPr>
                    <w:t>运行时长</w:t>
                  </w:r>
                </w:p>
              </w:tc>
              <w:tc>
                <w:tcPr>
                  <w:tcW w:w="752" w:type="dxa"/>
                  <w:noWrap/>
                  <w:vAlign w:val="center"/>
                </w:tcPr>
                <w:p>
                  <w:pPr>
                    <w:adjustRightInd w:val="0"/>
                    <w:snapToGrid w:val="0"/>
                    <w:jc w:val="center"/>
                    <w:rPr>
                      <w:b/>
                      <w:bCs/>
                    </w:rPr>
                  </w:pPr>
                  <w:r>
                    <w:rPr>
                      <w:b/>
                      <w:bCs/>
                    </w:rPr>
                    <w:t>衰减后源强</w:t>
                  </w:r>
                </w:p>
              </w:tc>
              <w:tc>
                <w:tcPr>
                  <w:tcW w:w="1337" w:type="dxa"/>
                  <w:noWrap/>
                  <w:vAlign w:val="center"/>
                </w:tcPr>
                <w:p>
                  <w:pPr>
                    <w:adjustRightInd w:val="0"/>
                    <w:snapToGrid w:val="0"/>
                    <w:jc w:val="center"/>
                    <w:rPr>
                      <w:b/>
                      <w:bCs/>
                    </w:rPr>
                  </w:pPr>
                  <w:r>
                    <w:rPr>
                      <w:rFonts w:hint="eastAsia"/>
                      <w:b/>
                      <w:bCs/>
                    </w:rPr>
                    <w:t>降噪措施</w:t>
                  </w:r>
                </w:p>
              </w:tc>
              <w:tc>
                <w:tcPr>
                  <w:tcW w:w="1254" w:type="dxa"/>
                  <w:noWrap/>
                  <w:vAlign w:val="center"/>
                </w:tcPr>
                <w:p>
                  <w:pPr>
                    <w:adjustRightInd w:val="0"/>
                    <w:snapToGrid w:val="0"/>
                    <w:jc w:val="center"/>
                    <w:rPr>
                      <w:b/>
                      <w:bCs/>
                    </w:rPr>
                  </w:pPr>
                  <w:r>
                    <w:rPr>
                      <w:rFonts w:hint="eastAsia"/>
                      <w:b/>
                      <w:bCs/>
                    </w:rPr>
                    <w:t>降噪量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0" w:type="dxa"/>
                  <w:noWrap/>
                  <w:vAlign w:val="center"/>
                </w:tcPr>
                <w:p>
                  <w:pPr>
                    <w:adjustRightInd w:val="0"/>
                    <w:snapToGrid w:val="0"/>
                    <w:jc w:val="center"/>
                  </w:pPr>
                  <w:r>
                    <w:t>1</w:t>
                  </w:r>
                </w:p>
              </w:tc>
              <w:tc>
                <w:tcPr>
                  <w:tcW w:w="1144" w:type="dxa"/>
                  <w:noWrap/>
                  <w:vAlign w:val="center"/>
                </w:tcPr>
                <w:p>
                  <w:pPr>
                    <w:jc w:val="center"/>
                  </w:pPr>
                  <w:r>
                    <w:rPr>
                      <w:rFonts w:hint="eastAsia"/>
                    </w:rPr>
                    <w:t>等离子</w:t>
                  </w:r>
                </w:p>
                <w:p>
                  <w:pPr>
                    <w:jc w:val="center"/>
                  </w:pPr>
                  <w:r>
                    <w:rPr>
                      <w:rFonts w:hint="eastAsia"/>
                    </w:rPr>
                    <w:t>切割机</w:t>
                  </w:r>
                </w:p>
              </w:tc>
              <w:tc>
                <w:tcPr>
                  <w:tcW w:w="709" w:type="dxa"/>
                  <w:noWrap/>
                  <w:vAlign w:val="center"/>
                </w:tcPr>
                <w:p>
                  <w:pPr>
                    <w:jc w:val="center"/>
                  </w:pPr>
                  <w:r>
                    <w:rPr>
                      <w:rFonts w:hint="eastAsia"/>
                      <w:lang w:val="en-US" w:eastAsia="zh-CN"/>
                    </w:rPr>
                    <w:t>6</w:t>
                  </w:r>
                  <w:r>
                    <w:rPr>
                      <w:rFonts w:hint="eastAsia"/>
                    </w:rPr>
                    <w:t>台</w:t>
                  </w:r>
                </w:p>
              </w:tc>
              <w:tc>
                <w:tcPr>
                  <w:tcW w:w="709" w:type="dxa"/>
                  <w:noWrap/>
                  <w:vAlign w:val="center"/>
                </w:tcPr>
                <w:p>
                  <w:pPr>
                    <w:jc w:val="center"/>
                  </w:pPr>
                  <w:r>
                    <w:rPr>
                      <w:rFonts w:hint="eastAsia"/>
                    </w:rPr>
                    <w:t>85</w:t>
                  </w:r>
                </w:p>
              </w:tc>
              <w:tc>
                <w:tcPr>
                  <w:tcW w:w="992" w:type="dxa"/>
                  <w:noWrap/>
                  <w:vAlign w:val="center"/>
                </w:tcPr>
                <w:p>
                  <w:pPr>
                    <w:jc w:val="center"/>
                  </w:pPr>
                  <w:r>
                    <w:rPr>
                      <w:rFonts w:hint="eastAsia"/>
                    </w:rPr>
                    <w:t>5m</w:t>
                  </w:r>
                </w:p>
              </w:tc>
              <w:tc>
                <w:tcPr>
                  <w:tcW w:w="807" w:type="dxa"/>
                  <w:noWrap/>
                  <w:vAlign w:val="center"/>
                </w:tcPr>
                <w:p>
                  <w:pPr>
                    <w:jc w:val="center"/>
                  </w:pPr>
                  <w:r>
                    <w:rPr>
                      <w:rFonts w:hint="eastAsia"/>
                    </w:rPr>
                    <w:t>1440h</w:t>
                  </w:r>
                </w:p>
              </w:tc>
              <w:tc>
                <w:tcPr>
                  <w:tcW w:w="752" w:type="dxa"/>
                  <w:noWrap/>
                  <w:vAlign w:val="center"/>
                </w:tcPr>
                <w:p>
                  <w:pPr>
                    <w:jc w:val="center"/>
                  </w:pPr>
                  <w:r>
                    <w:rPr>
                      <w:rFonts w:hint="eastAsia"/>
                    </w:rPr>
                    <w:t>74.0</w:t>
                  </w:r>
                </w:p>
              </w:tc>
              <w:tc>
                <w:tcPr>
                  <w:tcW w:w="1337" w:type="dxa"/>
                  <w:vMerge w:val="restart"/>
                  <w:noWrap/>
                  <w:vAlign w:val="center"/>
                </w:tcPr>
                <w:p>
                  <w:pPr>
                    <w:adjustRightInd w:val="0"/>
                    <w:snapToGrid w:val="0"/>
                    <w:jc w:val="center"/>
                  </w:pPr>
                  <w:r>
                    <w:rPr>
                      <w:rFonts w:hint="eastAsia"/>
                    </w:rPr>
                    <w:t>采用低噪声设备+</w:t>
                  </w:r>
                  <w:r>
                    <w:t>减震垫</w:t>
                  </w:r>
                  <w:r>
                    <w:rPr>
                      <w:rFonts w:hint="eastAsia"/>
                    </w:rPr>
                    <w:t>+车间墙体安装隔音装置，</w:t>
                  </w:r>
                </w:p>
              </w:tc>
              <w:tc>
                <w:tcPr>
                  <w:tcW w:w="1254" w:type="dxa"/>
                  <w:vMerge w:val="restart"/>
                  <w:noWrap/>
                  <w:vAlign w:val="center"/>
                </w:tcPr>
                <w:p>
                  <w:pPr>
                    <w:adjustRightInd w:val="0"/>
                    <w:snapToGrid w:val="0"/>
                    <w:jc w:val="center"/>
                  </w:pPr>
                  <w:r>
                    <w:rPr>
                      <w:rFonts w:hint="eastAsia"/>
                    </w:rPr>
                    <w:t>减振：8dB（A）；墙体隔声：20dB（A）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2" w:hRule="atLeast"/>
                <w:jc w:val="center"/>
              </w:trPr>
              <w:tc>
                <w:tcPr>
                  <w:tcW w:w="650" w:type="dxa"/>
                  <w:noWrap/>
                  <w:vAlign w:val="center"/>
                </w:tcPr>
                <w:p>
                  <w:pPr>
                    <w:adjustRightInd w:val="0"/>
                    <w:snapToGrid w:val="0"/>
                    <w:jc w:val="center"/>
                  </w:pPr>
                  <w:r>
                    <w:rPr>
                      <w:rFonts w:hint="eastAsia"/>
                    </w:rPr>
                    <w:t>2</w:t>
                  </w:r>
                </w:p>
              </w:tc>
              <w:tc>
                <w:tcPr>
                  <w:tcW w:w="1144" w:type="dxa"/>
                  <w:noWrap/>
                  <w:vAlign w:val="center"/>
                </w:tcPr>
                <w:p>
                  <w:pPr>
                    <w:jc w:val="center"/>
                  </w:pPr>
                  <w:r>
                    <w:rPr>
                      <w:rFonts w:hint="eastAsia"/>
                    </w:rPr>
                    <w:t>液压剪</w:t>
                  </w:r>
                </w:p>
              </w:tc>
              <w:tc>
                <w:tcPr>
                  <w:tcW w:w="709" w:type="dxa"/>
                  <w:noWrap/>
                  <w:vAlign w:val="center"/>
                </w:tcPr>
                <w:p>
                  <w:pPr>
                    <w:jc w:val="center"/>
                  </w:pPr>
                  <w:r>
                    <w:rPr>
                      <w:rFonts w:hint="eastAsia"/>
                    </w:rPr>
                    <w:t>1台</w:t>
                  </w:r>
                </w:p>
              </w:tc>
              <w:tc>
                <w:tcPr>
                  <w:tcW w:w="709" w:type="dxa"/>
                  <w:noWrap/>
                  <w:vAlign w:val="center"/>
                </w:tcPr>
                <w:p>
                  <w:pPr>
                    <w:jc w:val="center"/>
                  </w:pPr>
                  <w:r>
                    <w:rPr>
                      <w:rFonts w:hint="eastAsia"/>
                    </w:rPr>
                    <w:t>80</w:t>
                  </w:r>
                </w:p>
              </w:tc>
              <w:tc>
                <w:tcPr>
                  <w:tcW w:w="992" w:type="dxa"/>
                  <w:noWrap/>
                  <w:vAlign w:val="center"/>
                </w:tcPr>
                <w:p>
                  <w:pPr>
                    <w:jc w:val="center"/>
                  </w:pPr>
                  <w:r>
                    <w:rPr>
                      <w:rFonts w:hint="eastAsia"/>
                    </w:rPr>
                    <w:t>5m</w:t>
                  </w:r>
                </w:p>
              </w:tc>
              <w:tc>
                <w:tcPr>
                  <w:tcW w:w="807" w:type="dxa"/>
                  <w:noWrap/>
                  <w:vAlign w:val="center"/>
                </w:tcPr>
                <w:p>
                  <w:pPr>
                    <w:jc w:val="center"/>
                  </w:pPr>
                  <w:r>
                    <w:rPr>
                      <w:rFonts w:hint="eastAsia"/>
                    </w:rPr>
                    <w:t>1440h</w:t>
                  </w:r>
                </w:p>
              </w:tc>
              <w:tc>
                <w:tcPr>
                  <w:tcW w:w="752" w:type="dxa"/>
                  <w:noWrap/>
                  <w:vAlign w:val="center"/>
                </w:tcPr>
                <w:p>
                  <w:pPr>
                    <w:jc w:val="center"/>
                  </w:pPr>
                  <w:r>
                    <w:rPr>
                      <w:rFonts w:hint="eastAsia"/>
                    </w:rPr>
                    <w:t>66.0</w:t>
                  </w:r>
                </w:p>
              </w:tc>
              <w:tc>
                <w:tcPr>
                  <w:tcW w:w="1337" w:type="dxa"/>
                  <w:vMerge w:val="continue"/>
                  <w:noWrap/>
                  <w:vAlign w:val="center"/>
                </w:tcPr>
                <w:p>
                  <w:pPr>
                    <w:adjustRightInd w:val="0"/>
                    <w:snapToGrid w:val="0"/>
                    <w:jc w:val="center"/>
                  </w:pPr>
                </w:p>
              </w:tc>
              <w:tc>
                <w:tcPr>
                  <w:tcW w:w="1254" w:type="dxa"/>
                  <w:vMerge w:val="continue"/>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7" w:hRule="atLeast"/>
                <w:jc w:val="center"/>
              </w:trPr>
              <w:tc>
                <w:tcPr>
                  <w:tcW w:w="650" w:type="dxa"/>
                  <w:noWrap/>
                  <w:vAlign w:val="center"/>
                </w:tcPr>
                <w:p>
                  <w:pPr>
                    <w:adjustRightInd w:val="0"/>
                    <w:snapToGrid w:val="0"/>
                    <w:jc w:val="center"/>
                  </w:pPr>
                  <w:r>
                    <w:rPr>
                      <w:rFonts w:hint="eastAsia"/>
                    </w:rPr>
                    <w:t>3</w:t>
                  </w:r>
                </w:p>
              </w:tc>
              <w:tc>
                <w:tcPr>
                  <w:tcW w:w="1144" w:type="dxa"/>
                  <w:noWrap/>
                  <w:vAlign w:val="center"/>
                </w:tcPr>
                <w:p>
                  <w:pPr>
                    <w:jc w:val="center"/>
                  </w:pPr>
                  <w:r>
                    <w:rPr>
                      <w:rFonts w:hint="eastAsia"/>
                    </w:rPr>
                    <w:t>压块</w:t>
                  </w:r>
                </w:p>
                <w:p>
                  <w:pPr>
                    <w:jc w:val="center"/>
                  </w:pPr>
                  <w:r>
                    <w:rPr>
                      <w:rFonts w:hint="eastAsia"/>
                    </w:rPr>
                    <w:t>打包机</w:t>
                  </w:r>
                </w:p>
              </w:tc>
              <w:tc>
                <w:tcPr>
                  <w:tcW w:w="709" w:type="dxa"/>
                  <w:noWrap/>
                  <w:vAlign w:val="center"/>
                </w:tcPr>
                <w:p>
                  <w:pPr>
                    <w:jc w:val="center"/>
                  </w:pPr>
                  <w:r>
                    <w:rPr>
                      <w:rFonts w:hint="eastAsia"/>
                    </w:rPr>
                    <w:t>1台</w:t>
                  </w:r>
                </w:p>
              </w:tc>
              <w:tc>
                <w:tcPr>
                  <w:tcW w:w="709" w:type="dxa"/>
                  <w:noWrap/>
                  <w:vAlign w:val="center"/>
                </w:tcPr>
                <w:p>
                  <w:pPr>
                    <w:jc w:val="center"/>
                  </w:pPr>
                  <w:r>
                    <w:rPr>
                      <w:rFonts w:hint="eastAsia"/>
                    </w:rPr>
                    <w:t>90</w:t>
                  </w:r>
                </w:p>
              </w:tc>
              <w:tc>
                <w:tcPr>
                  <w:tcW w:w="992" w:type="dxa"/>
                  <w:noWrap/>
                  <w:vAlign w:val="center"/>
                </w:tcPr>
                <w:p>
                  <w:pPr>
                    <w:jc w:val="center"/>
                  </w:pPr>
                  <w:r>
                    <w:rPr>
                      <w:rFonts w:hint="eastAsia"/>
                    </w:rPr>
                    <w:t>10m</w:t>
                  </w:r>
                </w:p>
              </w:tc>
              <w:tc>
                <w:tcPr>
                  <w:tcW w:w="807" w:type="dxa"/>
                  <w:noWrap/>
                  <w:vAlign w:val="center"/>
                </w:tcPr>
                <w:p>
                  <w:pPr>
                    <w:jc w:val="center"/>
                  </w:pPr>
                  <w:r>
                    <w:rPr>
                      <w:rFonts w:hint="eastAsia"/>
                    </w:rPr>
                    <w:t>1440h</w:t>
                  </w:r>
                </w:p>
              </w:tc>
              <w:tc>
                <w:tcPr>
                  <w:tcW w:w="752" w:type="dxa"/>
                  <w:noWrap/>
                  <w:vAlign w:val="center"/>
                </w:tcPr>
                <w:p>
                  <w:pPr>
                    <w:jc w:val="center"/>
                  </w:pPr>
                  <w:r>
                    <w:rPr>
                      <w:rFonts w:hint="eastAsia"/>
                    </w:rPr>
                    <w:t>70.0</w:t>
                  </w:r>
                </w:p>
              </w:tc>
              <w:tc>
                <w:tcPr>
                  <w:tcW w:w="1337" w:type="dxa"/>
                  <w:vMerge w:val="continue"/>
                  <w:noWrap/>
                  <w:vAlign w:val="center"/>
                </w:tcPr>
                <w:p>
                  <w:pPr>
                    <w:adjustRightInd w:val="0"/>
                    <w:snapToGrid w:val="0"/>
                    <w:jc w:val="center"/>
                  </w:pPr>
                </w:p>
              </w:tc>
              <w:tc>
                <w:tcPr>
                  <w:tcW w:w="1254" w:type="dxa"/>
                  <w:vMerge w:val="continue"/>
                  <w:noWrap/>
                  <w:vAlign w:val="center"/>
                </w:tcPr>
                <w:p>
                  <w:pPr>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3" w:hRule="atLeast"/>
                <w:jc w:val="center"/>
              </w:trPr>
              <w:tc>
                <w:tcPr>
                  <w:tcW w:w="5763" w:type="dxa"/>
                  <w:gridSpan w:val="7"/>
                  <w:noWrap/>
                  <w:vAlign w:val="center"/>
                </w:tcPr>
                <w:p>
                  <w:pPr>
                    <w:adjustRightInd w:val="0"/>
                    <w:snapToGrid w:val="0"/>
                    <w:jc w:val="center"/>
                  </w:pPr>
                  <w:r>
                    <w:rPr>
                      <w:rFonts w:hint="eastAsia"/>
                    </w:rPr>
                    <w:t>经隔声减噪，各噪声源叠加后项目生产车间外噪声源强</w:t>
                  </w:r>
                </w:p>
              </w:tc>
              <w:tc>
                <w:tcPr>
                  <w:tcW w:w="2591" w:type="dxa"/>
                  <w:gridSpan w:val="2"/>
                  <w:noWrap/>
                  <w:vAlign w:val="center"/>
                </w:tcPr>
                <w:p>
                  <w:pPr>
                    <w:adjustRightInd w:val="0"/>
                    <w:snapToGrid w:val="0"/>
                    <w:jc w:val="center"/>
                  </w:pPr>
                  <w:r>
                    <w:rPr>
                      <w:rFonts w:hint="eastAsia"/>
                    </w:rPr>
                    <w:t>50.45dB（A）</w:t>
                  </w:r>
                </w:p>
              </w:tc>
            </w:tr>
          </w:tbl>
          <w:p>
            <w:pPr>
              <w:pStyle w:val="10"/>
              <w:numPr>
                <w:ilvl w:val="0"/>
                <w:numId w:val="5"/>
              </w:numPr>
              <w:spacing w:after="0" w:line="360" w:lineRule="auto"/>
              <w:ind w:firstLine="480"/>
              <w:rPr>
                <w:b/>
                <w:bCs/>
                <w:sz w:val="24"/>
                <w:szCs w:val="24"/>
              </w:rPr>
            </w:pPr>
            <w:r>
              <w:rPr>
                <w:b/>
                <w:bCs/>
                <w:sz w:val="24"/>
                <w:szCs w:val="24"/>
              </w:rPr>
              <w:t xml:space="preserve">预测及评价结果 </w:t>
            </w:r>
          </w:p>
          <w:p>
            <w:pPr>
              <w:pStyle w:val="10"/>
              <w:spacing w:after="0" w:line="360" w:lineRule="auto"/>
              <w:ind w:firstLine="480" w:firstLineChars="200"/>
              <w:rPr>
                <w:sz w:val="24"/>
                <w:szCs w:val="24"/>
              </w:rPr>
            </w:pPr>
            <w:r>
              <w:rPr>
                <w:sz w:val="24"/>
                <w:szCs w:val="24"/>
              </w:rPr>
              <w:t>本次评价选用</w:t>
            </w:r>
            <w:r>
              <w:rPr>
                <w:rFonts w:hint="eastAsia"/>
                <w:sz w:val="24"/>
                <w:szCs w:val="24"/>
              </w:rPr>
              <w:t>厂界</w:t>
            </w:r>
            <w:r>
              <w:rPr>
                <w:sz w:val="24"/>
                <w:szCs w:val="24"/>
              </w:rPr>
              <w:t>处噪声贡献值作为评价量</w:t>
            </w:r>
            <w:r>
              <w:rPr>
                <w:rFonts w:hint="eastAsia"/>
                <w:sz w:val="24"/>
                <w:szCs w:val="24"/>
              </w:rPr>
              <w:t>。</w:t>
            </w:r>
          </w:p>
          <w:p>
            <w:pPr>
              <w:pStyle w:val="33"/>
              <w:numPr>
                <w:ilvl w:val="0"/>
                <w:numId w:val="0"/>
              </w:numPr>
              <w:wordWrap w:val="0"/>
              <w:spacing w:line="360" w:lineRule="auto"/>
              <w:jc w:val="right"/>
            </w:pPr>
            <w:r>
              <w:rPr>
                <w:rFonts w:hint="eastAsia"/>
              </w:rPr>
              <w:t>表4</w:t>
            </w:r>
            <w:r>
              <w:rPr>
                <w:rFonts w:hint="eastAsia"/>
                <w:lang w:val="en-US" w:eastAsia="zh-CN"/>
              </w:rPr>
              <w:t>3</w:t>
            </w:r>
            <w:r>
              <w:rPr>
                <w:rFonts w:hint="eastAsia"/>
              </w:rPr>
              <w:t xml:space="preserve">   </w:t>
            </w:r>
            <w:r>
              <w:t>厂界噪声计算结果统计表    单位：dB（A）</w:t>
            </w:r>
          </w:p>
          <w:tbl>
            <w:tblPr>
              <w:tblStyle w:val="25"/>
              <w:tblW w:w="824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160"/>
              <w:gridCol w:w="2003"/>
              <w:gridCol w:w="1975"/>
              <w:gridCol w:w="21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2" w:hRule="atLeast"/>
              </w:trPr>
              <w:tc>
                <w:tcPr>
                  <w:tcW w:w="2160" w:type="dxa"/>
                  <w:shd w:val="clear" w:color="auto" w:fill="auto"/>
                  <w:noWrap/>
                  <w:vAlign w:val="center"/>
                </w:tcPr>
                <w:p>
                  <w:pPr>
                    <w:adjustRightInd w:val="0"/>
                    <w:snapToGrid w:val="0"/>
                    <w:jc w:val="center"/>
                    <w:rPr>
                      <w:b/>
                      <w:bCs/>
                    </w:rPr>
                  </w:pPr>
                  <w:r>
                    <w:rPr>
                      <w:b/>
                      <w:bCs/>
                    </w:rPr>
                    <w:t>预测位置</w:t>
                  </w:r>
                </w:p>
              </w:tc>
              <w:tc>
                <w:tcPr>
                  <w:tcW w:w="2003" w:type="dxa"/>
                  <w:shd w:val="clear" w:color="auto" w:fill="auto"/>
                  <w:noWrap/>
                  <w:vAlign w:val="center"/>
                </w:tcPr>
                <w:p>
                  <w:pPr>
                    <w:adjustRightInd w:val="0"/>
                    <w:snapToGrid w:val="0"/>
                    <w:jc w:val="center"/>
                    <w:rPr>
                      <w:b/>
                      <w:bCs/>
                    </w:rPr>
                  </w:pPr>
                  <w:r>
                    <w:rPr>
                      <w:rFonts w:hint="eastAsia"/>
                      <w:b/>
                      <w:bCs/>
                    </w:rPr>
                    <w:t>距离声源距离</w:t>
                  </w:r>
                </w:p>
              </w:tc>
              <w:tc>
                <w:tcPr>
                  <w:tcW w:w="1975" w:type="dxa"/>
                  <w:shd w:val="clear" w:color="auto" w:fill="auto"/>
                  <w:noWrap/>
                  <w:vAlign w:val="center"/>
                </w:tcPr>
                <w:p>
                  <w:pPr>
                    <w:adjustRightInd w:val="0"/>
                    <w:snapToGrid w:val="0"/>
                    <w:jc w:val="center"/>
                    <w:rPr>
                      <w:b/>
                      <w:bCs/>
                    </w:rPr>
                  </w:pPr>
                  <w:r>
                    <w:rPr>
                      <w:rFonts w:hint="eastAsia"/>
                      <w:b/>
                      <w:bCs/>
                    </w:rPr>
                    <w:t>贡献值</w:t>
                  </w:r>
                </w:p>
              </w:tc>
              <w:tc>
                <w:tcPr>
                  <w:tcW w:w="2111" w:type="dxa"/>
                  <w:shd w:val="clear" w:color="auto" w:fill="auto"/>
                  <w:noWrap/>
                  <w:vAlign w:val="center"/>
                </w:tcPr>
                <w:p>
                  <w:pPr>
                    <w:adjustRightInd w:val="0"/>
                    <w:snapToGrid w:val="0"/>
                    <w:jc w:val="center"/>
                    <w:rPr>
                      <w:b/>
                      <w:bCs/>
                    </w:rPr>
                  </w:pPr>
                  <w:r>
                    <w:rPr>
                      <w:rFonts w:hint="eastAsia"/>
                      <w:b/>
                      <w:bCs/>
                    </w:rPr>
                    <w:t>标准值（</w:t>
                  </w:r>
                  <w:r>
                    <w:rPr>
                      <w:b/>
                      <w:bCs/>
                    </w:rPr>
                    <w:t>昼间</w:t>
                  </w:r>
                  <w:r>
                    <w:rPr>
                      <w:rFonts w:hint="eastAsia"/>
                      <w:b/>
                      <w:bC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2" w:hRule="atLeast"/>
              </w:trPr>
              <w:tc>
                <w:tcPr>
                  <w:tcW w:w="2160" w:type="dxa"/>
                  <w:shd w:val="clear" w:color="auto" w:fill="auto"/>
                  <w:noWrap/>
                  <w:vAlign w:val="center"/>
                </w:tcPr>
                <w:p>
                  <w:pPr>
                    <w:adjustRightInd w:val="0"/>
                    <w:snapToGrid w:val="0"/>
                    <w:jc w:val="center"/>
                  </w:pPr>
                  <w:r>
                    <w:rPr>
                      <w:rFonts w:hint="eastAsia"/>
                    </w:rPr>
                    <w:t>厂界东侧</w:t>
                  </w:r>
                </w:p>
              </w:tc>
              <w:tc>
                <w:tcPr>
                  <w:tcW w:w="2003" w:type="dxa"/>
                  <w:shd w:val="clear" w:color="auto" w:fill="auto"/>
                  <w:noWrap/>
                  <w:vAlign w:val="center"/>
                </w:tcPr>
                <w:p>
                  <w:pPr>
                    <w:adjustRightInd w:val="0"/>
                    <w:snapToGrid w:val="0"/>
                    <w:jc w:val="center"/>
                  </w:pPr>
                  <w:r>
                    <w:rPr>
                      <w:rFonts w:hint="eastAsia"/>
                    </w:rPr>
                    <w:t>70</w:t>
                  </w:r>
                </w:p>
              </w:tc>
              <w:tc>
                <w:tcPr>
                  <w:tcW w:w="1975" w:type="dxa"/>
                  <w:shd w:val="clear" w:color="auto" w:fill="auto"/>
                  <w:noWrap/>
                  <w:vAlign w:val="center"/>
                </w:tcPr>
                <w:p>
                  <w:pPr>
                    <w:adjustRightInd w:val="0"/>
                    <w:snapToGrid w:val="0"/>
                    <w:jc w:val="center"/>
                  </w:pPr>
                  <w:r>
                    <w:rPr>
                      <w:rFonts w:hint="eastAsia"/>
                    </w:rPr>
                    <w:t>37.10</w:t>
                  </w:r>
                </w:p>
              </w:tc>
              <w:tc>
                <w:tcPr>
                  <w:tcW w:w="2111" w:type="dxa"/>
                  <w:shd w:val="clear" w:color="auto" w:fill="auto"/>
                  <w:noWrap/>
                  <w:vAlign w:val="center"/>
                </w:tcPr>
                <w:p>
                  <w:pPr>
                    <w:adjustRightInd w:val="0"/>
                    <w:snapToGrid w:val="0"/>
                    <w:jc w:val="center"/>
                  </w:pPr>
                  <w:r>
                    <w:rPr>
                      <w:rFonts w:hint="eastAsia"/>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2" w:hRule="atLeast"/>
              </w:trPr>
              <w:tc>
                <w:tcPr>
                  <w:tcW w:w="2160" w:type="dxa"/>
                  <w:shd w:val="clear" w:color="auto" w:fill="auto"/>
                  <w:noWrap/>
                  <w:vAlign w:val="center"/>
                </w:tcPr>
                <w:p>
                  <w:pPr>
                    <w:adjustRightInd w:val="0"/>
                    <w:snapToGrid w:val="0"/>
                    <w:jc w:val="center"/>
                  </w:pPr>
                  <w:r>
                    <w:t>厂界南侧</w:t>
                  </w:r>
                </w:p>
              </w:tc>
              <w:tc>
                <w:tcPr>
                  <w:tcW w:w="2003" w:type="dxa"/>
                  <w:shd w:val="clear" w:color="auto" w:fill="auto"/>
                  <w:noWrap/>
                  <w:vAlign w:val="center"/>
                </w:tcPr>
                <w:p>
                  <w:pPr>
                    <w:adjustRightInd w:val="0"/>
                    <w:snapToGrid w:val="0"/>
                    <w:jc w:val="center"/>
                  </w:pPr>
                  <w:r>
                    <w:rPr>
                      <w:rFonts w:hint="eastAsia"/>
                    </w:rPr>
                    <w:t>60</w:t>
                  </w:r>
                </w:p>
              </w:tc>
              <w:tc>
                <w:tcPr>
                  <w:tcW w:w="1975" w:type="dxa"/>
                  <w:shd w:val="clear" w:color="auto" w:fill="auto"/>
                  <w:noWrap/>
                  <w:vAlign w:val="center"/>
                </w:tcPr>
                <w:p>
                  <w:pPr>
                    <w:adjustRightInd w:val="0"/>
                    <w:snapToGrid w:val="0"/>
                    <w:jc w:val="center"/>
                  </w:pPr>
                  <w:r>
                    <w:rPr>
                      <w:rFonts w:hint="eastAsia"/>
                    </w:rPr>
                    <w:t>38.43</w:t>
                  </w:r>
                </w:p>
              </w:tc>
              <w:tc>
                <w:tcPr>
                  <w:tcW w:w="2111" w:type="dxa"/>
                  <w:shd w:val="clear" w:color="auto" w:fill="auto"/>
                  <w:noWrap/>
                  <w:vAlign w:val="center"/>
                </w:tcPr>
                <w:p>
                  <w:pPr>
                    <w:adjustRightInd w:val="0"/>
                    <w:snapToGrid w:val="0"/>
                    <w:jc w:val="center"/>
                  </w:pPr>
                  <w:r>
                    <w:rPr>
                      <w:rFonts w:hint="eastAsia"/>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2" w:hRule="atLeast"/>
              </w:trPr>
              <w:tc>
                <w:tcPr>
                  <w:tcW w:w="2160" w:type="dxa"/>
                  <w:shd w:val="clear" w:color="auto" w:fill="auto"/>
                  <w:noWrap/>
                  <w:vAlign w:val="center"/>
                </w:tcPr>
                <w:p>
                  <w:pPr>
                    <w:adjustRightInd w:val="0"/>
                    <w:snapToGrid w:val="0"/>
                    <w:jc w:val="center"/>
                  </w:pPr>
                  <w:r>
                    <w:t>厂界西侧</w:t>
                  </w:r>
                </w:p>
              </w:tc>
              <w:tc>
                <w:tcPr>
                  <w:tcW w:w="2003" w:type="dxa"/>
                  <w:shd w:val="clear" w:color="auto" w:fill="auto"/>
                  <w:noWrap/>
                  <w:vAlign w:val="center"/>
                </w:tcPr>
                <w:p>
                  <w:pPr>
                    <w:adjustRightInd w:val="0"/>
                    <w:snapToGrid w:val="0"/>
                    <w:jc w:val="center"/>
                  </w:pPr>
                  <w:r>
                    <w:rPr>
                      <w:rFonts w:hint="eastAsia"/>
                    </w:rPr>
                    <w:t>6</w:t>
                  </w:r>
                </w:p>
              </w:tc>
              <w:tc>
                <w:tcPr>
                  <w:tcW w:w="1975" w:type="dxa"/>
                  <w:shd w:val="clear" w:color="auto" w:fill="auto"/>
                  <w:noWrap/>
                  <w:vAlign w:val="center"/>
                </w:tcPr>
                <w:p>
                  <w:pPr>
                    <w:adjustRightInd w:val="0"/>
                    <w:snapToGrid w:val="0"/>
                    <w:jc w:val="center"/>
                  </w:pPr>
                  <w:r>
                    <w:rPr>
                      <w:rFonts w:hint="eastAsia"/>
                    </w:rPr>
                    <w:t>58.43</w:t>
                  </w:r>
                </w:p>
              </w:tc>
              <w:tc>
                <w:tcPr>
                  <w:tcW w:w="2111" w:type="dxa"/>
                  <w:shd w:val="clear" w:color="auto" w:fill="auto"/>
                  <w:noWrap/>
                  <w:vAlign w:val="center"/>
                </w:tcPr>
                <w:p>
                  <w:pPr>
                    <w:adjustRightInd w:val="0"/>
                    <w:snapToGrid w:val="0"/>
                    <w:jc w:val="center"/>
                  </w:pPr>
                  <w:r>
                    <w:rPr>
                      <w:rFonts w:hint="eastAsia"/>
                    </w:rPr>
                    <w:t>6</w:t>
                  </w:r>
                  <w: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2" w:hRule="atLeast"/>
              </w:trPr>
              <w:tc>
                <w:tcPr>
                  <w:tcW w:w="2160" w:type="dxa"/>
                  <w:shd w:val="clear" w:color="auto" w:fill="auto"/>
                  <w:noWrap/>
                  <w:vAlign w:val="center"/>
                </w:tcPr>
                <w:p>
                  <w:pPr>
                    <w:adjustRightInd w:val="0"/>
                    <w:snapToGrid w:val="0"/>
                    <w:jc w:val="center"/>
                  </w:pPr>
                  <w:r>
                    <w:t>厂界北侧</w:t>
                  </w:r>
                </w:p>
              </w:tc>
              <w:tc>
                <w:tcPr>
                  <w:tcW w:w="2003" w:type="dxa"/>
                  <w:shd w:val="clear" w:color="auto" w:fill="auto"/>
                  <w:noWrap/>
                  <w:vAlign w:val="center"/>
                </w:tcPr>
                <w:p>
                  <w:pPr>
                    <w:adjustRightInd w:val="0"/>
                    <w:snapToGrid w:val="0"/>
                    <w:jc w:val="center"/>
                  </w:pPr>
                  <w:r>
                    <w:rPr>
                      <w:rFonts w:hint="eastAsia"/>
                    </w:rPr>
                    <w:t>40</w:t>
                  </w:r>
                </w:p>
              </w:tc>
              <w:tc>
                <w:tcPr>
                  <w:tcW w:w="1975" w:type="dxa"/>
                  <w:shd w:val="clear" w:color="auto" w:fill="auto"/>
                  <w:noWrap/>
                  <w:vAlign w:val="center"/>
                </w:tcPr>
                <w:p>
                  <w:pPr>
                    <w:adjustRightInd w:val="0"/>
                    <w:snapToGrid w:val="0"/>
                    <w:jc w:val="center"/>
                  </w:pPr>
                  <w:r>
                    <w:rPr>
                      <w:rFonts w:hint="eastAsia"/>
                    </w:rPr>
                    <w:t>41.96</w:t>
                  </w:r>
                </w:p>
              </w:tc>
              <w:tc>
                <w:tcPr>
                  <w:tcW w:w="2111" w:type="dxa"/>
                  <w:shd w:val="clear" w:color="auto" w:fill="auto"/>
                  <w:noWrap/>
                  <w:vAlign w:val="center"/>
                </w:tcPr>
                <w:p>
                  <w:pPr>
                    <w:adjustRightInd w:val="0"/>
                    <w:snapToGrid w:val="0"/>
                    <w:jc w:val="center"/>
                  </w:pPr>
                  <w:r>
                    <w:rPr>
                      <w:rFonts w:hint="eastAsia"/>
                    </w:rPr>
                    <w:t>65</w:t>
                  </w:r>
                </w:p>
              </w:tc>
            </w:tr>
          </w:tbl>
          <w:p>
            <w:pPr>
              <w:adjustRightInd w:val="0"/>
              <w:snapToGrid w:val="0"/>
            </w:pPr>
          </w:p>
          <w:p>
            <w:pPr>
              <w:adjustRightInd w:val="0"/>
              <w:snapToGrid w:val="0"/>
              <w:ind w:firstLine="470" w:firstLineChars="196"/>
              <w:rPr>
                <w:sz w:val="24"/>
                <w:szCs w:val="24"/>
              </w:rPr>
            </w:pPr>
            <w:r>
              <w:rPr>
                <w:sz w:val="24"/>
                <w:szCs w:val="24"/>
              </w:rPr>
              <w:t>注</w:t>
            </w:r>
            <w:r>
              <w:rPr>
                <w:rFonts w:hint="eastAsia"/>
                <w:sz w:val="24"/>
                <w:szCs w:val="24"/>
              </w:rPr>
              <w:t>：</w:t>
            </w:r>
            <w:r>
              <w:rPr>
                <w:sz w:val="24"/>
                <w:szCs w:val="24"/>
              </w:rPr>
              <w:t>夜间不生产</w:t>
            </w:r>
            <w:r>
              <w:rPr>
                <w:rFonts w:hint="eastAsia"/>
                <w:sz w:val="24"/>
                <w:szCs w:val="24"/>
              </w:rPr>
              <w:t>，</w:t>
            </w:r>
            <w:r>
              <w:rPr>
                <w:sz w:val="24"/>
                <w:szCs w:val="24"/>
              </w:rPr>
              <w:t>仅对昼间进行分析预测</w:t>
            </w:r>
          </w:p>
          <w:p>
            <w:pPr>
              <w:tabs>
                <w:tab w:val="left" w:pos="678"/>
              </w:tabs>
              <w:spacing w:line="360" w:lineRule="auto"/>
              <w:ind w:firstLine="480" w:firstLineChars="200"/>
              <w:rPr>
                <w:sz w:val="24"/>
                <w:szCs w:val="24"/>
              </w:rPr>
            </w:pPr>
            <w:r>
              <w:rPr>
                <w:sz w:val="24"/>
                <w:szCs w:val="24"/>
              </w:rPr>
              <w:t>由上表可知，在对设备进行基础减振处理（如：加减振垫）以及对于辅助性高噪声设备加装消声器，可使设备降噪20-25dB(A</w:t>
            </w:r>
            <w:r>
              <w:rPr>
                <w:rFonts w:hint="eastAsia"/>
                <w:sz w:val="24"/>
                <w:szCs w:val="24"/>
              </w:rPr>
              <w:t>)</w:t>
            </w:r>
            <w:r>
              <w:rPr>
                <w:sz w:val="24"/>
                <w:szCs w:val="24"/>
              </w:rPr>
              <w:t>左右；再经距离衰减后，可减轻项目运营时对周围环境影响。厂界噪声满足《工业企业厂界环境噪声排放标准》（GB12348—2008）中的</w:t>
            </w:r>
            <w:r>
              <w:rPr>
                <w:rFonts w:hint="eastAsia"/>
                <w:sz w:val="24"/>
                <w:szCs w:val="24"/>
              </w:rPr>
              <w:t>3</w:t>
            </w:r>
            <w:r>
              <w:rPr>
                <w:sz w:val="24"/>
                <w:szCs w:val="24"/>
              </w:rPr>
              <w:t>类标准要求。</w:t>
            </w:r>
          </w:p>
          <w:p>
            <w:pPr>
              <w:spacing w:line="360" w:lineRule="auto"/>
              <w:ind w:firstLine="482" w:firstLineChars="200"/>
              <w:rPr>
                <w:b/>
                <w:bCs/>
                <w:sz w:val="24"/>
                <w:szCs w:val="24"/>
              </w:rPr>
            </w:pPr>
            <w:r>
              <w:rPr>
                <w:rFonts w:hint="eastAsia"/>
                <w:b/>
                <w:bCs/>
                <w:sz w:val="24"/>
                <w:szCs w:val="24"/>
              </w:rPr>
              <w:t>（4）声环境影响分析</w:t>
            </w:r>
          </w:p>
          <w:p>
            <w:pPr>
              <w:adjustRightInd w:val="0"/>
              <w:snapToGrid w:val="0"/>
              <w:spacing w:line="360" w:lineRule="auto"/>
              <w:ind w:firstLine="480" w:firstLineChars="200"/>
              <w:jc w:val="left"/>
              <w:rPr>
                <w:sz w:val="24"/>
                <w:szCs w:val="24"/>
              </w:rPr>
            </w:pPr>
            <w:r>
              <w:rPr>
                <w:rFonts w:hint="eastAsia"/>
                <w:sz w:val="24"/>
                <w:szCs w:val="24"/>
              </w:rPr>
              <w:t>综上所述，本项目剪切设备、压块和切割设备等产噪设备厂界噪声排放可以满足《工业企业厂界环境噪声排放标准》（GB12348-2008）中3类标准，对周边声环境影响较小。</w:t>
            </w:r>
          </w:p>
          <w:p>
            <w:pPr>
              <w:adjustRightInd w:val="0"/>
              <w:snapToGrid w:val="0"/>
              <w:spacing w:line="360" w:lineRule="auto"/>
              <w:ind w:firstLine="482" w:firstLineChars="200"/>
              <w:jc w:val="left"/>
              <w:rPr>
                <w:b/>
                <w:bCs/>
                <w:sz w:val="24"/>
                <w:szCs w:val="24"/>
              </w:rPr>
            </w:pPr>
            <w:r>
              <w:rPr>
                <w:rFonts w:hint="eastAsia"/>
                <w:b/>
                <w:bCs/>
                <w:sz w:val="24"/>
                <w:szCs w:val="24"/>
              </w:rPr>
              <w:t>（5）敏感点影响分析</w:t>
            </w:r>
          </w:p>
          <w:p>
            <w:pPr>
              <w:adjustRightInd w:val="0"/>
              <w:snapToGrid w:val="0"/>
              <w:spacing w:line="360" w:lineRule="auto"/>
              <w:ind w:firstLine="480" w:firstLineChars="200"/>
              <w:jc w:val="left"/>
              <w:rPr>
                <w:sz w:val="24"/>
                <w:szCs w:val="24"/>
              </w:rPr>
            </w:pPr>
            <w:r>
              <w:rPr>
                <w:rFonts w:hint="eastAsia"/>
                <w:sz w:val="24"/>
                <w:szCs w:val="24"/>
              </w:rPr>
              <w:t>本项目周边50m范围内无声环境敏感点，项目运营对区域居民声环境影响较小。</w:t>
            </w:r>
          </w:p>
          <w:p>
            <w:pPr>
              <w:adjustRightInd w:val="0"/>
              <w:snapToGrid w:val="0"/>
              <w:spacing w:line="360" w:lineRule="auto"/>
              <w:ind w:firstLine="482" w:firstLineChars="200"/>
              <w:jc w:val="left"/>
              <w:rPr>
                <w:b/>
                <w:bCs/>
                <w:sz w:val="24"/>
                <w:szCs w:val="24"/>
              </w:rPr>
            </w:pPr>
            <w:r>
              <w:rPr>
                <w:rFonts w:hint="eastAsia"/>
                <w:b/>
                <w:bCs/>
                <w:sz w:val="24"/>
                <w:szCs w:val="24"/>
              </w:rPr>
              <w:t>（6）偶发噪声影响分析</w:t>
            </w:r>
          </w:p>
          <w:p>
            <w:pPr>
              <w:adjustRightInd w:val="0"/>
              <w:snapToGrid w:val="0"/>
              <w:spacing w:line="360" w:lineRule="auto"/>
              <w:ind w:firstLine="480" w:firstLineChars="200"/>
              <w:jc w:val="left"/>
              <w:rPr>
                <w:sz w:val="24"/>
                <w:szCs w:val="24"/>
              </w:rPr>
            </w:pPr>
            <w:r>
              <w:rPr>
                <w:rFonts w:hint="eastAsia"/>
                <w:sz w:val="24"/>
                <w:szCs w:val="24"/>
              </w:rPr>
              <w:t>本项目运营过程中，压块、剪切设备等设备运行时以及总成毁形冲击时会存在砸击重物产生噪声，重物砸落地面也会产生一定的噪声，上述噪声均为偶发噪声，噪声级较高，会对环境造成一定的影响，故需采取噪声污染防治措施减少偶发噪声对周边声环境的影响。主要措施如下：</w:t>
            </w:r>
          </w:p>
          <w:p>
            <w:pPr>
              <w:adjustRightInd w:val="0"/>
              <w:snapToGrid w:val="0"/>
              <w:spacing w:line="360" w:lineRule="auto"/>
              <w:ind w:firstLine="480" w:firstLineChars="200"/>
              <w:jc w:val="left"/>
              <w:rPr>
                <w:sz w:val="24"/>
                <w:szCs w:val="24"/>
              </w:rPr>
            </w:pPr>
            <w:r>
              <w:rPr>
                <w:rFonts w:hint="eastAsia"/>
                <w:sz w:val="24"/>
                <w:szCs w:val="24"/>
              </w:rPr>
              <w:t>①报废农机拆解过程需在车间内进行，利用车间墙体隔声减小噪声影响；</w:t>
            </w:r>
          </w:p>
          <w:p>
            <w:pPr>
              <w:adjustRightInd w:val="0"/>
              <w:snapToGrid w:val="0"/>
              <w:spacing w:line="360" w:lineRule="auto"/>
              <w:ind w:firstLine="480" w:firstLineChars="200"/>
              <w:jc w:val="left"/>
              <w:rPr>
                <w:sz w:val="24"/>
                <w:szCs w:val="24"/>
              </w:rPr>
            </w:pPr>
            <w:r>
              <w:rPr>
                <w:rFonts w:hint="eastAsia"/>
                <w:sz w:val="24"/>
                <w:szCs w:val="24"/>
              </w:rPr>
              <w:t>②对工作人员进行规范化操作培训，加强员工操作规范性；</w:t>
            </w:r>
          </w:p>
          <w:p>
            <w:pPr>
              <w:adjustRightInd w:val="0"/>
              <w:snapToGrid w:val="0"/>
              <w:spacing w:line="360" w:lineRule="auto"/>
              <w:ind w:firstLine="480" w:firstLineChars="200"/>
              <w:jc w:val="left"/>
              <w:rPr>
                <w:sz w:val="24"/>
                <w:szCs w:val="24"/>
              </w:rPr>
            </w:pPr>
            <w:r>
              <w:rPr>
                <w:rFonts w:hint="eastAsia"/>
                <w:sz w:val="24"/>
                <w:szCs w:val="24"/>
              </w:rPr>
              <w:t>③报废车辆转运卸载时轻起轻落，避免重物从高处砸落；</w:t>
            </w:r>
          </w:p>
          <w:p>
            <w:pPr>
              <w:adjustRightInd w:val="0"/>
              <w:snapToGrid w:val="0"/>
              <w:spacing w:line="360" w:lineRule="auto"/>
              <w:ind w:firstLine="480" w:firstLineChars="200"/>
              <w:jc w:val="left"/>
              <w:rPr>
                <w:sz w:val="24"/>
                <w:szCs w:val="24"/>
              </w:rPr>
            </w:pPr>
            <w:r>
              <w:rPr>
                <w:rFonts w:hint="eastAsia"/>
                <w:sz w:val="24"/>
                <w:szCs w:val="24"/>
              </w:rPr>
              <w:t>④禁止夜间作业。</w:t>
            </w:r>
          </w:p>
          <w:p>
            <w:pPr>
              <w:adjustRightInd w:val="0"/>
              <w:snapToGrid w:val="0"/>
              <w:spacing w:line="360" w:lineRule="auto"/>
              <w:ind w:firstLine="480" w:firstLineChars="200"/>
              <w:jc w:val="left"/>
              <w:rPr>
                <w:sz w:val="24"/>
                <w:szCs w:val="24"/>
              </w:rPr>
            </w:pPr>
            <w:r>
              <w:rPr>
                <w:rFonts w:hint="eastAsia"/>
                <w:sz w:val="24"/>
                <w:szCs w:val="24"/>
              </w:rPr>
              <w:t>通过上述措施处理后，可以有效减小偶发噪声对周边声环境的影响。</w:t>
            </w:r>
          </w:p>
          <w:p>
            <w:pPr>
              <w:adjustRightInd w:val="0"/>
              <w:snapToGrid w:val="0"/>
              <w:spacing w:line="360" w:lineRule="auto"/>
              <w:ind w:firstLine="480"/>
              <w:rPr>
                <w:b/>
                <w:bCs/>
                <w:sz w:val="24"/>
                <w:szCs w:val="24"/>
              </w:rPr>
            </w:pPr>
            <w:r>
              <w:rPr>
                <w:rFonts w:hint="eastAsia"/>
                <w:b/>
                <w:bCs/>
                <w:sz w:val="24"/>
                <w:szCs w:val="24"/>
              </w:rPr>
              <w:t>（7）其他噪声防治措施</w:t>
            </w:r>
          </w:p>
          <w:p>
            <w:pPr>
              <w:adjustRightInd w:val="0"/>
              <w:snapToGrid w:val="0"/>
              <w:spacing w:line="360" w:lineRule="auto"/>
              <w:ind w:firstLine="480"/>
              <w:rPr>
                <w:sz w:val="24"/>
                <w:szCs w:val="24"/>
              </w:rPr>
            </w:pPr>
            <w:r>
              <w:rPr>
                <w:rFonts w:hint="eastAsia"/>
                <w:sz w:val="24"/>
                <w:szCs w:val="24"/>
              </w:rPr>
              <w:t>本项目通过采用符合国家标准的低噪音设备，针对噪声设备（切割设备、剪切设备</w:t>
            </w:r>
            <w:r>
              <w:rPr>
                <w:sz w:val="24"/>
                <w:szCs w:val="24"/>
              </w:rPr>
              <w:t>等设备</w:t>
            </w:r>
            <w:r>
              <w:rPr>
                <w:rFonts w:hint="eastAsia"/>
                <w:sz w:val="24"/>
                <w:szCs w:val="24"/>
              </w:rPr>
              <w:t>）安装基础减震设施，在车间墙体安装隔音装置，利用车间建筑隔音等措施，可使厂界噪声排放满足《工业企业厂界环境噪声排放标准》（GB12348 -2008）中3类标准。</w:t>
            </w:r>
          </w:p>
          <w:p>
            <w:pPr>
              <w:spacing w:line="360" w:lineRule="auto"/>
              <w:ind w:firstLine="480" w:firstLineChars="200"/>
              <w:rPr>
                <w:sz w:val="24"/>
                <w:szCs w:val="24"/>
              </w:rPr>
            </w:pPr>
            <w:r>
              <w:rPr>
                <w:rFonts w:hint="eastAsia"/>
                <w:sz w:val="24"/>
                <w:szCs w:val="24"/>
              </w:rPr>
              <w:t>为了进一步减少项目噪声对周围环境的影响，本环评建议以下几点：</w:t>
            </w:r>
          </w:p>
          <w:p>
            <w:pPr>
              <w:spacing w:line="360" w:lineRule="auto"/>
              <w:ind w:firstLine="480" w:firstLineChars="200"/>
              <w:rPr>
                <w:sz w:val="24"/>
                <w:szCs w:val="24"/>
              </w:rPr>
            </w:pPr>
            <w:r>
              <w:rPr>
                <w:rFonts w:hint="eastAsia"/>
                <w:sz w:val="24"/>
                <w:szCs w:val="24"/>
              </w:rPr>
              <w:t>①厂内加强管理，提高职工的环保意识教育，提倡文明生产，降低人为噪声，禁止夜间生产；</w:t>
            </w:r>
          </w:p>
          <w:p>
            <w:pPr>
              <w:spacing w:line="360" w:lineRule="auto"/>
              <w:ind w:firstLine="480" w:firstLineChars="200"/>
              <w:rPr>
                <w:sz w:val="24"/>
                <w:szCs w:val="24"/>
              </w:rPr>
            </w:pPr>
            <w:r>
              <w:rPr>
                <w:rFonts w:hint="eastAsia"/>
                <w:sz w:val="24"/>
                <w:szCs w:val="24"/>
              </w:rPr>
              <w:t>②企业建立设备定期维护、保养的管理制度，以防止设备故障时非正常生产噪声；</w:t>
            </w:r>
          </w:p>
          <w:p>
            <w:pPr>
              <w:spacing w:line="360" w:lineRule="auto"/>
              <w:ind w:firstLine="480" w:firstLineChars="200"/>
              <w:rPr>
                <w:sz w:val="24"/>
                <w:szCs w:val="24"/>
              </w:rPr>
            </w:pPr>
            <w:r>
              <w:rPr>
                <w:rFonts w:hint="eastAsia"/>
                <w:sz w:val="24"/>
                <w:szCs w:val="24"/>
              </w:rPr>
              <w:t>③厂区边界处种植树木，利用高大树木进行隔音吸声，减小噪声排放。</w:t>
            </w:r>
          </w:p>
          <w:p>
            <w:pPr>
              <w:spacing w:line="360" w:lineRule="auto"/>
              <w:ind w:firstLine="480" w:firstLineChars="200"/>
              <w:rPr>
                <w:sz w:val="24"/>
                <w:szCs w:val="24"/>
              </w:rPr>
            </w:pPr>
            <w:r>
              <w:rPr>
                <w:rFonts w:hint="eastAsia"/>
                <w:sz w:val="24"/>
                <w:szCs w:val="24"/>
              </w:rPr>
              <w:t>本项目运营产生的噪声通过基础减震、隔音和距离衰减后，厂界噪声排放可满足《工业企业厂界环境噪声排放标准》（GB12348-2008）中1类标准限值要求，即：昼间≤55dB（A），对周边环境影响较小。</w:t>
            </w:r>
          </w:p>
          <w:p>
            <w:pPr>
              <w:adjustRightInd w:val="0"/>
              <w:snapToGrid w:val="0"/>
              <w:spacing w:line="360" w:lineRule="auto"/>
              <w:ind w:firstLine="480"/>
              <w:rPr>
                <w:b/>
                <w:bCs/>
                <w:sz w:val="24"/>
                <w:szCs w:val="24"/>
                <w:u w:val="single"/>
              </w:rPr>
            </w:pPr>
            <w:r>
              <w:rPr>
                <w:rFonts w:hint="eastAsia"/>
                <w:b/>
                <w:bCs/>
                <w:sz w:val="24"/>
                <w:szCs w:val="24"/>
                <w:u w:val="single"/>
              </w:rPr>
              <w:t>（8）监测要求</w:t>
            </w:r>
          </w:p>
          <w:p>
            <w:pPr>
              <w:adjustRightInd w:val="0"/>
              <w:snapToGrid w:val="0"/>
              <w:spacing w:line="360" w:lineRule="auto"/>
              <w:ind w:firstLine="480"/>
              <w:rPr>
                <w:sz w:val="24"/>
                <w:szCs w:val="24"/>
                <w:u w:val="single"/>
              </w:rPr>
            </w:pPr>
            <w:r>
              <w:rPr>
                <w:sz w:val="24"/>
                <w:szCs w:val="24"/>
                <w:u w:val="single"/>
              </w:rPr>
              <w:t>本项目声环境监测计划参照《排污单位自行监测技术指南总则》（HJ819-2017）、《排污许可证申请与核发技术规范 废弃资源加工工业》（HJ1034-2019）等文件要求执行，具体监测内容见表</w:t>
            </w:r>
            <w:r>
              <w:rPr>
                <w:rFonts w:hint="eastAsia"/>
                <w:sz w:val="24"/>
                <w:szCs w:val="24"/>
                <w:u w:val="single"/>
              </w:rPr>
              <w:t>4</w:t>
            </w:r>
            <w:r>
              <w:rPr>
                <w:rFonts w:hint="eastAsia"/>
                <w:sz w:val="24"/>
                <w:szCs w:val="24"/>
                <w:u w:val="single"/>
                <w:lang w:val="en-US" w:eastAsia="zh-CN"/>
              </w:rPr>
              <w:t>4</w:t>
            </w:r>
            <w:r>
              <w:rPr>
                <w:rFonts w:hint="eastAsia"/>
                <w:sz w:val="24"/>
                <w:szCs w:val="24"/>
                <w:u w:val="single"/>
              </w:rPr>
              <w:t>。</w:t>
            </w:r>
          </w:p>
          <w:p>
            <w:pPr>
              <w:pStyle w:val="33"/>
              <w:numPr>
                <w:ilvl w:val="0"/>
                <w:numId w:val="0"/>
              </w:numPr>
              <w:spacing w:line="360" w:lineRule="auto"/>
              <w:rPr>
                <w:sz w:val="24"/>
                <w:szCs w:val="24"/>
                <w:u w:val="single"/>
              </w:rPr>
            </w:pPr>
            <w:r>
              <w:rPr>
                <w:rFonts w:hint="eastAsia"/>
                <w:sz w:val="24"/>
                <w:szCs w:val="24"/>
                <w:u w:val="single"/>
              </w:rPr>
              <w:t>表4</w:t>
            </w:r>
            <w:r>
              <w:rPr>
                <w:rFonts w:hint="eastAsia"/>
                <w:sz w:val="24"/>
                <w:szCs w:val="24"/>
                <w:u w:val="single"/>
                <w:lang w:val="en-US" w:eastAsia="zh-CN"/>
              </w:rPr>
              <w:t>4</w:t>
            </w:r>
            <w:r>
              <w:rPr>
                <w:rFonts w:hint="eastAsia"/>
                <w:sz w:val="24"/>
                <w:szCs w:val="24"/>
                <w:u w:val="single"/>
              </w:rPr>
              <w:t xml:space="preserve">  </w:t>
            </w:r>
            <w:r>
              <w:rPr>
                <w:sz w:val="24"/>
                <w:szCs w:val="24"/>
                <w:u w:val="single"/>
              </w:rPr>
              <w:t>监测要求</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141"/>
              <w:gridCol w:w="1192"/>
              <w:gridCol w:w="33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5" w:hRule="atLeast"/>
                <w:jc w:val="center"/>
              </w:trPr>
              <w:tc>
                <w:tcPr>
                  <w:tcW w:w="799" w:type="pct"/>
                  <w:vAlign w:val="center"/>
                </w:tcPr>
                <w:p>
                  <w:pPr>
                    <w:pStyle w:val="81"/>
                    <w:snapToGrid w:val="0"/>
                    <w:rPr>
                      <w:b/>
                      <w:bCs/>
                      <w:u w:val="single"/>
                      <w:lang w:eastAsia="zh-CN"/>
                    </w:rPr>
                  </w:pPr>
                  <w:r>
                    <w:rPr>
                      <w:b/>
                      <w:bCs/>
                      <w:u w:val="single"/>
                      <w:lang w:eastAsia="zh-CN"/>
                    </w:rPr>
                    <w:t>污染源类别</w:t>
                  </w:r>
                </w:p>
              </w:tc>
              <w:tc>
                <w:tcPr>
                  <w:tcW w:w="1335" w:type="pct"/>
                  <w:vAlign w:val="center"/>
                </w:tcPr>
                <w:p>
                  <w:pPr>
                    <w:pStyle w:val="81"/>
                    <w:snapToGrid w:val="0"/>
                    <w:rPr>
                      <w:b/>
                      <w:bCs/>
                      <w:u w:val="single"/>
                      <w:lang w:eastAsia="zh-CN"/>
                    </w:rPr>
                  </w:pPr>
                  <w:r>
                    <w:rPr>
                      <w:b/>
                      <w:bCs/>
                      <w:u w:val="single"/>
                      <w:lang w:eastAsia="zh-CN"/>
                    </w:rPr>
                    <w:t>监测点位名称</w:t>
                  </w:r>
                </w:p>
              </w:tc>
              <w:tc>
                <w:tcPr>
                  <w:tcW w:w="744" w:type="pct"/>
                  <w:vAlign w:val="center"/>
                </w:tcPr>
                <w:p>
                  <w:pPr>
                    <w:pStyle w:val="81"/>
                    <w:snapToGrid w:val="0"/>
                    <w:rPr>
                      <w:b/>
                      <w:bCs/>
                      <w:u w:val="single"/>
                      <w:lang w:eastAsia="zh-CN"/>
                    </w:rPr>
                  </w:pPr>
                  <w:r>
                    <w:rPr>
                      <w:b/>
                      <w:bCs/>
                      <w:u w:val="single"/>
                      <w:lang w:eastAsia="zh-CN"/>
                    </w:rPr>
                    <w:t>监测频次</w:t>
                  </w:r>
                </w:p>
              </w:tc>
              <w:tc>
                <w:tcPr>
                  <w:tcW w:w="2120" w:type="pct"/>
                  <w:vAlign w:val="center"/>
                </w:tcPr>
                <w:p>
                  <w:pPr>
                    <w:pStyle w:val="81"/>
                    <w:snapToGrid w:val="0"/>
                    <w:rPr>
                      <w:b/>
                      <w:bCs/>
                      <w:u w:val="single"/>
                      <w:lang w:eastAsia="zh-CN"/>
                    </w:rPr>
                  </w:pPr>
                  <w:r>
                    <w:rPr>
                      <w:b/>
                      <w:bCs/>
                      <w:u w:val="single"/>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9" w:type="pct"/>
                  <w:vMerge w:val="restart"/>
                  <w:vAlign w:val="center"/>
                </w:tcPr>
                <w:p>
                  <w:pPr>
                    <w:pStyle w:val="81"/>
                    <w:snapToGrid w:val="0"/>
                    <w:rPr>
                      <w:u w:val="single"/>
                      <w:lang w:eastAsia="zh-CN"/>
                    </w:rPr>
                  </w:pPr>
                  <w:r>
                    <w:rPr>
                      <w:u w:val="single"/>
                      <w:lang w:eastAsia="zh-CN"/>
                    </w:rPr>
                    <w:t>噪声</w:t>
                  </w:r>
                </w:p>
              </w:tc>
              <w:tc>
                <w:tcPr>
                  <w:tcW w:w="1335" w:type="pct"/>
                  <w:vAlign w:val="center"/>
                </w:tcPr>
                <w:p>
                  <w:pPr>
                    <w:adjustRightInd w:val="0"/>
                    <w:snapToGrid w:val="0"/>
                    <w:spacing w:before="100" w:beforeAutospacing="1" w:after="100" w:afterAutospacing="1" w:line="280" w:lineRule="exact"/>
                    <w:ind w:left="-31" w:leftChars="-15" w:right="-31" w:rightChars="-15"/>
                    <w:jc w:val="center"/>
                    <w:rPr>
                      <w:u w:val="single"/>
                    </w:rPr>
                  </w:pPr>
                  <w:r>
                    <w:rPr>
                      <w:u w:val="single"/>
                    </w:rPr>
                    <w:t>厂界东侧1m</w:t>
                  </w:r>
                </w:p>
              </w:tc>
              <w:tc>
                <w:tcPr>
                  <w:tcW w:w="744" w:type="pct"/>
                  <w:vMerge w:val="restart"/>
                  <w:vAlign w:val="center"/>
                </w:tcPr>
                <w:p>
                  <w:pPr>
                    <w:pStyle w:val="82"/>
                    <w:adjustRightInd w:val="0"/>
                    <w:snapToGrid w:val="0"/>
                    <w:jc w:val="center"/>
                    <w:rPr>
                      <w:u w:val="single"/>
                    </w:rPr>
                  </w:pPr>
                  <w:r>
                    <w:rPr>
                      <w:u w:val="single"/>
                    </w:rPr>
                    <w:t>1次/</w:t>
                  </w:r>
                  <w:r>
                    <w:rPr>
                      <w:rFonts w:hint="eastAsia"/>
                      <w:u w:val="single"/>
                    </w:rPr>
                    <w:t>季度</w:t>
                  </w:r>
                </w:p>
              </w:tc>
              <w:tc>
                <w:tcPr>
                  <w:tcW w:w="2120" w:type="pct"/>
                  <w:vMerge w:val="restart"/>
                  <w:vAlign w:val="center"/>
                </w:tcPr>
                <w:p>
                  <w:pPr>
                    <w:pStyle w:val="82"/>
                    <w:adjustRightInd w:val="0"/>
                    <w:snapToGrid w:val="0"/>
                    <w:jc w:val="center"/>
                    <w:rPr>
                      <w:u w:val="single"/>
                    </w:rPr>
                  </w:pPr>
                  <w:r>
                    <w:rPr>
                      <w:u w:val="single"/>
                    </w:rPr>
                    <w:t>《工业企业厂界环境噪声排放标准》（GB12348—2008）中的</w:t>
                  </w:r>
                  <w:r>
                    <w:rPr>
                      <w:rFonts w:hint="eastAsia"/>
                      <w:u w:val="single"/>
                    </w:rPr>
                    <w:t>3</w:t>
                  </w:r>
                  <w:r>
                    <w:rPr>
                      <w:u w:val="single"/>
                    </w:rPr>
                    <w:t>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5" w:hRule="atLeast"/>
                <w:jc w:val="center"/>
              </w:trPr>
              <w:tc>
                <w:tcPr>
                  <w:tcW w:w="799" w:type="pct"/>
                  <w:vMerge w:val="continue"/>
                  <w:vAlign w:val="center"/>
                </w:tcPr>
                <w:p>
                  <w:pPr>
                    <w:pStyle w:val="81"/>
                    <w:snapToGrid w:val="0"/>
                    <w:rPr>
                      <w:lang w:eastAsia="zh-CN"/>
                    </w:rPr>
                  </w:pPr>
                </w:p>
              </w:tc>
              <w:tc>
                <w:tcPr>
                  <w:tcW w:w="1335" w:type="pct"/>
                  <w:vAlign w:val="center"/>
                </w:tcPr>
                <w:p>
                  <w:pPr>
                    <w:adjustRightInd w:val="0"/>
                    <w:snapToGrid w:val="0"/>
                    <w:spacing w:before="100" w:beforeAutospacing="1" w:after="100" w:afterAutospacing="1" w:line="280" w:lineRule="exact"/>
                    <w:ind w:left="-31" w:leftChars="-15" w:right="-31" w:rightChars="-15"/>
                    <w:jc w:val="center"/>
                    <w:rPr>
                      <w:u w:val="single"/>
                    </w:rPr>
                  </w:pPr>
                  <w:r>
                    <w:rPr>
                      <w:u w:val="single"/>
                    </w:rPr>
                    <w:t>厂界南侧1m</w:t>
                  </w:r>
                </w:p>
              </w:tc>
              <w:tc>
                <w:tcPr>
                  <w:tcW w:w="744" w:type="pct"/>
                  <w:vMerge w:val="continue"/>
                  <w:vAlign w:val="center"/>
                </w:tcPr>
                <w:p>
                  <w:pPr>
                    <w:pStyle w:val="82"/>
                    <w:adjustRightInd w:val="0"/>
                    <w:snapToGrid w:val="0"/>
                    <w:jc w:val="center"/>
                  </w:pPr>
                </w:p>
              </w:tc>
              <w:tc>
                <w:tcPr>
                  <w:tcW w:w="2120" w:type="pct"/>
                  <w:vMerge w:val="continue"/>
                  <w:vAlign w:val="center"/>
                </w:tcPr>
                <w:p>
                  <w:pPr>
                    <w:pStyle w:val="82"/>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9" w:type="pct"/>
                  <w:vMerge w:val="continue"/>
                  <w:vAlign w:val="center"/>
                </w:tcPr>
                <w:p>
                  <w:pPr>
                    <w:pStyle w:val="81"/>
                    <w:snapToGrid w:val="0"/>
                    <w:rPr>
                      <w:lang w:eastAsia="zh-CN"/>
                    </w:rPr>
                  </w:pPr>
                </w:p>
              </w:tc>
              <w:tc>
                <w:tcPr>
                  <w:tcW w:w="1335" w:type="pct"/>
                  <w:vAlign w:val="center"/>
                </w:tcPr>
                <w:p>
                  <w:pPr>
                    <w:adjustRightInd w:val="0"/>
                    <w:snapToGrid w:val="0"/>
                    <w:spacing w:before="100" w:beforeAutospacing="1" w:after="100" w:afterAutospacing="1" w:line="280" w:lineRule="exact"/>
                    <w:ind w:left="-31" w:leftChars="-15" w:right="-31" w:rightChars="-15"/>
                    <w:jc w:val="center"/>
                    <w:rPr>
                      <w:u w:val="single"/>
                    </w:rPr>
                  </w:pPr>
                  <w:r>
                    <w:rPr>
                      <w:u w:val="single"/>
                    </w:rPr>
                    <w:t>厂界西侧1m</w:t>
                  </w:r>
                </w:p>
              </w:tc>
              <w:tc>
                <w:tcPr>
                  <w:tcW w:w="744" w:type="pct"/>
                  <w:vMerge w:val="continue"/>
                  <w:vAlign w:val="center"/>
                </w:tcPr>
                <w:p>
                  <w:pPr>
                    <w:pStyle w:val="82"/>
                    <w:adjustRightInd w:val="0"/>
                    <w:snapToGrid w:val="0"/>
                    <w:jc w:val="center"/>
                  </w:pPr>
                </w:p>
              </w:tc>
              <w:tc>
                <w:tcPr>
                  <w:tcW w:w="2120" w:type="pct"/>
                  <w:vMerge w:val="continue"/>
                  <w:vAlign w:val="center"/>
                </w:tcPr>
                <w:p>
                  <w:pPr>
                    <w:pStyle w:val="82"/>
                    <w:adjustRightInd w:val="0"/>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85" w:hRule="atLeast"/>
                <w:jc w:val="center"/>
              </w:trPr>
              <w:tc>
                <w:tcPr>
                  <w:tcW w:w="799" w:type="pct"/>
                  <w:vMerge w:val="continue"/>
                  <w:vAlign w:val="center"/>
                </w:tcPr>
                <w:p>
                  <w:pPr>
                    <w:pStyle w:val="81"/>
                    <w:snapToGrid w:val="0"/>
                    <w:rPr>
                      <w:lang w:eastAsia="zh-CN"/>
                    </w:rPr>
                  </w:pPr>
                </w:p>
              </w:tc>
              <w:tc>
                <w:tcPr>
                  <w:tcW w:w="1335" w:type="pct"/>
                  <w:vAlign w:val="center"/>
                </w:tcPr>
                <w:p>
                  <w:pPr>
                    <w:adjustRightInd w:val="0"/>
                    <w:snapToGrid w:val="0"/>
                    <w:spacing w:before="100" w:beforeAutospacing="1" w:after="100" w:afterAutospacing="1" w:line="280" w:lineRule="exact"/>
                    <w:ind w:left="-31" w:leftChars="-15" w:right="-31" w:rightChars="-15"/>
                    <w:jc w:val="center"/>
                    <w:rPr>
                      <w:u w:val="single"/>
                    </w:rPr>
                  </w:pPr>
                  <w:r>
                    <w:rPr>
                      <w:u w:val="single"/>
                    </w:rPr>
                    <w:t>厂界北侧1m</w:t>
                  </w:r>
                </w:p>
              </w:tc>
              <w:tc>
                <w:tcPr>
                  <w:tcW w:w="744" w:type="pct"/>
                  <w:vMerge w:val="continue"/>
                  <w:vAlign w:val="center"/>
                </w:tcPr>
                <w:p>
                  <w:pPr>
                    <w:pStyle w:val="82"/>
                    <w:adjustRightInd w:val="0"/>
                    <w:snapToGrid w:val="0"/>
                    <w:jc w:val="center"/>
                  </w:pPr>
                </w:p>
              </w:tc>
              <w:tc>
                <w:tcPr>
                  <w:tcW w:w="2120" w:type="pct"/>
                  <w:vMerge w:val="continue"/>
                  <w:vAlign w:val="center"/>
                </w:tcPr>
                <w:p>
                  <w:pPr>
                    <w:pStyle w:val="82"/>
                    <w:adjustRightInd w:val="0"/>
                    <w:snapToGrid w:val="0"/>
                    <w:jc w:val="center"/>
                  </w:pPr>
                </w:p>
              </w:tc>
            </w:tr>
          </w:tbl>
          <w:p>
            <w:pPr>
              <w:spacing w:line="360" w:lineRule="auto"/>
              <w:ind w:firstLine="482" w:firstLineChars="200"/>
              <w:outlineLvl w:val="0"/>
              <w:rPr>
                <w:b/>
                <w:bCs/>
                <w:sz w:val="24"/>
                <w:szCs w:val="24"/>
              </w:rPr>
            </w:pPr>
            <w:r>
              <w:rPr>
                <w:b/>
                <w:bCs/>
                <w:sz w:val="24"/>
                <w:szCs w:val="24"/>
              </w:rPr>
              <w:t>4、固体废物</w:t>
            </w:r>
          </w:p>
          <w:p>
            <w:pPr>
              <w:spacing w:line="360" w:lineRule="auto"/>
              <w:ind w:firstLine="480"/>
              <w:jc w:val="left"/>
              <w:rPr>
                <w:b/>
                <w:bCs/>
                <w:sz w:val="24"/>
                <w:szCs w:val="24"/>
              </w:rPr>
            </w:pPr>
            <w:r>
              <w:rPr>
                <w:rFonts w:hint="eastAsia"/>
                <w:b/>
                <w:bCs/>
                <w:sz w:val="24"/>
                <w:szCs w:val="24"/>
              </w:rPr>
              <w:t>（1）污染源分析</w:t>
            </w:r>
          </w:p>
          <w:p>
            <w:pPr>
              <w:spacing w:line="360" w:lineRule="auto"/>
              <w:ind w:firstLine="480"/>
              <w:jc w:val="left"/>
              <w:rPr>
                <w:rFonts w:hint="eastAsia"/>
                <w:sz w:val="24"/>
                <w:szCs w:val="24"/>
                <w:u w:val="single"/>
              </w:rPr>
            </w:pPr>
            <w:r>
              <w:rPr>
                <w:sz w:val="24"/>
                <w:szCs w:val="24"/>
                <w:u w:val="single"/>
              </w:rPr>
              <w:t>本项目营运期产生的固体废物包括</w:t>
            </w:r>
            <w:r>
              <w:rPr>
                <w:rFonts w:hint="eastAsia"/>
                <w:sz w:val="24"/>
                <w:szCs w:val="24"/>
                <w:u w:val="single"/>
              </w:rPr>
              <w:t>一般固体废物及危险废物，无不可利用材料。本项目固体废物产排情况详见下表：</w:t>
            </w:r>
          </w:p>
          <w:p>
            <w:pPr>
              <w:pStyle w:val="10"/>
              <w:wordWrap w:val="0"/>
              <w:spacing w:after="0" w:line="360" w:lineRule="auto"/>
              <w:ind w:firstLine="422" w:firstLineChars="200"/>
              <w:jc w:val="right"/>
              <w:rPr>
                <w:rFonts w:hint="default" w:eastAsiaTheme="minorEastAsia"/>
                <w:b/>
                <w:bCs/>
                <w:lang w:val="en-US" w:eastAsia="zh-CN"/>
              </w:rPr>
            </w:pPr>
            <w:r>
              <w:rPr>
                <w:rFonts w:hint="eastAsia"/>
                <w:b/>
                <w:bCs/>
              </w:rPr>
              <w:t>表4</w:t>
            </w:r>
            <w:r>
              <w:rPr>
                <w:rFonts w:hint="eastAsia"/>
                <w:b/>
                <w:bCs/>
                <w:lang w:val="en-US" w:eastAsia="zh-CN"/>
              </w:rPr>
              <w:t>5</w:t>
            </w:r>
            <w:r>
              <w:rPr>
                <w:rFonts w:hint="eastAsia"/>
                <w:b/>
                <w:bCs/>
              </w:rPr>
              <w:t xml:space="preserve">   本项目固体废物产排情况一览表  </w:t>
            </w:r>
            <w:r>
              <w:rPr>
                <w:rFonts w:hint="eastAsia"/>
                <w:b/>
                <w:bCs/>
                <w:lang w:val="en-US" w:eastAsia="zh-CN"/>
              </w:rPr>
              <w:t xml:space="preserve">  </w:t>
            </w:r>
            <w:r>
              <w:rPr>
                <w:rFonts w:hint="eastAsia"/>
                <w:b/>
                <w:bCs/>
              </w:rPr>
              <w:t xml:space="preserve"> </w:t>
            </w:r>
            <w:r>
              <w:rPr>
                <w:rFonts w:hint="eastAsia"/>
                <w:b/>
                <w:bCs/>
                <w:lang w:val="en-US" w:eastAsia="zh-CN"/>
              </w:rPr>
              <w:t xml:space="preserve">   </w:t>
            </w:r>
            <w:r>
              <w:rPr>
                <w:rFonts w:hint="eastAsia"/>
                <w:b/>
                <w:bCs/>
              </w:rPr>
              <w:t>单位：t/a</w:t>
            </w:r>
            <w:r>
              <w:rPr>
                <w:rFonts w:hint="eastAsia"/>
                <w:b/>
                <w:bCs/>
                <w:lang w:val="en-US" w:eastAsia="zh-CN"/>
              </w:rPr>
              <w:t xml:space="preserve">    </w:t>
            </w:r>
          </w:p>
          <w:tbl>
            <w:tblPr>
              <w:tblStyle w:val="25"/>
              <w:tblW w:w="801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29"/>
              <w:gridCol w:w="1138"/>
              <w:gridCol w:w="1312"/>
              <w:gridCol w:w="1124"/>
              <w:gridCol w:w="726"/>
              <w:gridCol w:w="11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7" w:hRule="atLeast"/>
                <w:tblHeader/>
              </w:trPr>
              <w:tc>
                <w:tcPr>
                  <w:tcW w:w="726" w:type="dxa"/>
                  <w:shd w:val="clear" w:color="auto" w:fill="auto"/>
                  <w:noWrap/>
                  <w:vAlign w:val="center"/>
                </w:tcPr>
                <w:p>
                  <w:pPr>
                    <w:snapToGrid w:val="0"/>
                    <w:jc w:val="center"/>
                    <w:rPr>
                      <w:b/>
                      <w:bCs/>
                    </w:rPr>
                  </w:pPr>
                  <w:r>
                    <w:rPr>
                      <w:rFonts w:hint="eastAsia"/>
                      <w:b/>
                      <w:bCs/>
                    </w:rPr>
                    <w:t>序号</w:t>
                  </w:r>
                </w:p>
              </w:tc>
              <w:tc>
                <w:tcPr>
                  <w:tcW w:w="1829" w:type="dxa"/>
                  <w:shd w:val="clear" w:color="auto" w:fill="auto"/>
                  <w:noWrap/>
                  <w:vAlign w:val="center"/>
                </w:tcPr>
                <w:p>
                  <w:pPr>
                    <w:snapToGrid w:val="0"/>
                    <w:jc w:val="center"/>
                    <w:rPr>
                      <w:b/>
                      <w:bCs/>
                    </w:rPr>
                  </w:pPr>
                  <w:r>
                    <w:rPr>
                      <w:rFonts w:hint="eastAsia"/>
                      <w:b/>
                      <w:bCs/>
                    </w:rPr>
                    <w:t>名称</w:t>
                  </w:r>
                </w:p>
              </w:tc>
              <w:tc>
                <w:tcPr>
                  <w:tcW w:w="1138" w:type="dxa"/>
                  <w:shd w:val="clear" w:color="auto" w:fill="auto"/>
                  <w:noWrap/>
                  <w:vAlign w:val="center"/>
                </w:tcPr>
                <w:p>
                  <w:pPr>
                    <w:snapToGrid w:val="0"/>
                    <w:jc w:val="center"/>
                    <w:rPr>
                      <w:b/>
                      <w:bCs/>
                    </w:rPr>
                  </w:pPr>
                  <w:r>
                    <w:rPr>
                      <w:rFonts w:hint="eastAsia"/>
                      <w:b/>
                      <w:bCs/>
                    </w:rPr>
                    <w:t>产生量</w:t>
                  </w:r>
                </w:p>
              </w:tc>
              <w:tc>
                <w:tcPr>
                  <w:tcW w:w="1312" w:type="dxa"/>
                  <w:shd w:val="clear" w:color="auto" w:fill="auto"/>
                  <w:noWrap/>
                  <w:vAlign w:val="center"/>
                </w:tcPr>
                <w:p>
                  <w:pPr>
                    <w:snapToGrid w:val="0"/>
                    <w:jc w:val="center"/>
                    <w:rPr>
                      <w:b/>
                      <w:bCs/>
                    </w:rPr>
                  </w:pPr>
                  <w:r>
                    <w:rPr>
                      <w:b/>
                      <w:bCs/>
                    </w:rPr>
                    <w:t>产生环节</w:t>
                  </w:r>
                </w:p>
              </w:tc>
              <w:tc>
                <w:tcPr>
                  <w:tcW w:w="1124" w:type="dxa"/>
                  <w:shd w:val="clear" w:color="auto" w:fill="auto"/>
                  <w:noWrap/>
                  <w:vAlign w:val="center"/>
                </w:tcPr>
                <w:p>
                  <w:pPr>
                    <w:snapToGrid w:val="0"/>
                    <w:jc w:val="center"/>
                    <w:rPr>
                      <w:b/>
                      <w:bCs/>
                    </w:rPr>
                  </w:pPr>
                  <w:r>
                    <w:rPr>
                      <w:rFonts w:hint="eastAsia"/>
                      <w:b/>
                      <w:bCs/>
                    </w:rPr>
                    <w:t>贮存方式</w:t>
                  </w:r>
                </w:p>
              </w:tc>
              <w:tc>
                <w:tcPr>
                  <w:tcW w:w="726" w:type="dxa"/>
                  <w:shd w:val="clear" w:color="auto" w:fill="auto"/>
                  <w:noWrap/>
                  <w:vAlign w:val="center"/>
                </w:tcPr>
                <w:p>
                  <w:pPr>
                    <w:snapToGrid w:val="0"/>
                    <w:jc w:val="center"/>
                    <w:rPr>
                      <w:b/>
                      <w:bCs/>
                    </w:rPr>
                  </w:pPr>
                  <w:r>
                    <w:rPr>
                      <w:rFonts w:hint="eastAsia"/>
                      <w:b/>
                      <w:bCs/>
                    </w:rPr>
                    <w:t>属性</w:t>
                  </w:r>
                </w:p>
              </w:tc>
              <w:tc>
                <w:tcPr>
                  <w:tcW w:w="1157" w:type="dxa"/>
                  <w:shd w:val="clear" w:color="auto" w:fill="auto"/>
                  <w:noWrap/>
                  <w:vAlign w:val="center"/>
                </w:tcPr>
                <w:p>
                  <w:pPr>
                    <w:snapToGrid w:val="0"/>
                    <w:jc w:val="center"/>
                    <w:rPr>
                      <w:b/>
                      <w:bCs/>
                    </w:rPr>
                  </w:pPr>
                  <w:r>
                    <w:rPr>
                      <w:rFonts w:hint="eastAsia"/>
                      <w:b/>
                      <w:bCs/>
                    </w:rPr>
                    <w:t>处置方式和去向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shd w:val="clear" w:color="auto" w:fill="auto"/>
                  <w:noWrap/>
                  <w:vAlign w:val="center"/>
                </w:tcPr>
                <w:p>
                  <w:pPr>
                    <w:snapToGrid w:val="0"/>
                    <w:jc w:val="center"/>
                  </w:pPr>
                  <w:r>
                    <w:rPr>
                      <w:rFonts w:hint="eastAsia"/>
                    </w:rPr>
                    <w:t>1</w:t>
                  </w:r>
                </w:p>
              </w:tc>
              <w:tc>
                <w:tcPr>
                  <w:tcW w:w="1829" w:type="dxa"/>
                  <w:shd w:val="clear" w:color="auto" w:fill="auto"/>
                  <w:noWrap/>
                  <w:vAlign w:val="center"/>
                </w:tcPr>
                <w:p>
                  <w:pPr>
                    <w:jc w:val="center"/>
                  </w:pPr>
                  <w:r>
                    <w:t>毁形总成</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2050</w:t>
                  </w:r>
                </w:p>
              </w:tc>
              <w:tc>
                <w:tcPr>
                  <w:tcW w:w="1312" w:type="dxa"/>
                  <w:shd w:val="clear" w:color="auto" w:fill="auto"/>
                  <w:noWrap/>
                  <w:vAlign w:val="center"/>
                </w:tcPr>
                <w:p>
                  <w:pPr>
                    <w:adjustRightInd w:val="0"/>
                    <w:snapToGrid w:val="0"/>
                    <w:jc w:val="center"/>
                  </w:pPr>
                  <w:r>
                    <w:rPr>
                      <w:rFonts w:hint="eastAsia"/>
                    </w:rPr>
                    <w:t>总成毁形</w:t>
                  </w:r>
                </w:p>
              </w:tc>
              <w:tc>
                <w:tcPr>
                  <w:tcW w:w="1124" w:type="dxa"/>
                  <w:vMerge w:val="restart"/>
                  <w:shd w:val="clear" w:color="auto" w:fill="auto"/>
                  <w:noWrap/>
                  <w:vAlign w:val="center"/>
                </w:tcPr>
                <w:p>
                  <w:pPr>
                    <w:snapToGrid w:val="0"/>
                    <w:jc w:val="center"/>
                  </w:pPr>
                  <w:r>
                    <w:rPr>
                      <w:rFonts w:hint="eastAsia"/>
                    </w:rPr>
                    <w:t>分类暂存于拆解物仓库</w:t>
                  </w:r>
                </w:p>
              </w:tc>
              <w:tc>
                <w:tcPr>
                  <w:tcW w:w="726" w:type="dxa"/>
                  <w:vMerge w:val="restart"/>
                  <w:shd w:val="clear" w:color="auto" w:fill="auto"/>
                  <w:noWrap/>
                  <w:vAlign w:val="center"/>
                </w:tcPr>
                <w:p>
                  <w:pPr>
                    <w:snapToGrid w:val="0"/>
                    <w:jc w:val="center"/>
                  </w:pPr>
                  <w:r>
                    <w:rPr>
                      <w:rFonts w:hint="eastAsia"/>
                    </w:rPr>
                    <w:t>一般固体拆解物，作为产品外售</w:t>
                  </w:r>
                </w:p>
              </w:tc>
              <w:tc>
                <w:tcPr>
                  <w:tcW w:w="1157" w:type="dxa"/>
                  <w:vMerge w:val="restart"/>
                  <w:shd w:val="clear" w:color="auto" w:fill="auto"/>
                  <w:noWrap/>
                  <w:vAlign w:val="center"/>
                </w:tcPr>
                <w:p>
                  <w:pPr>
                    <w:snapToGrid w:val="0"/>
                    <w:rPr>
                      <w:rFonts w:hint="eastAsia"/>
                    </w:rPr>
                  </w:pPr>
                  <w:r>
                    <w:rPr>
                      <w:rFonts w:hint="eastAsia"/>
                    </w:rPr>
                    <w:t>外售下游</w:t>
                  </w:r>
                </w:p>
                <w:p>
                  <w:pPr>
                    <w:snapToGrid w:val="0"/>
                  </w:pPr>
                  <w:r>
                    <w:rPr>
                      <w:rFonts w:hint="eastAsia"/>
                    </w:rPr>
                    <w:t>回收单位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lang w:val="en-US" w:eastAsia="zh-CN"/>
                    </w:rPr>
                    <w:t>2</w:t>
                  </w:r>
                </w:p>
              </w:tc>
              <w:tc>
                <w:tcPr>
                  <w:tcW w:w="1829" w:type="dxa"/>
                  <w:shd w:val="clear" w:color="auto" w:fill="auto"/>
                  <w:noWrap/>
                  <w:vAlign w:val="center"/>
                </w:tcPr>
                <w:p>
                  <w:pPr>
                    <w:jc w:val="center"/>
                  </w:pPr>
                  <w:r>
                    <w:t>废玻璃</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42.5</w:t>
                  </w:r>
                </w:p>
              </w:tc>
              <w:tc>
                <w:tcPr>
                  <w:tcW w:w="1312" w:type="dxa"/>
                  <w:shd w:val="clear" w:color="auto" w:fill="auto"/>
                  <w:noWrap/>
                  <w:vAlign w:val="center"/>
                </w:tcPr>
                <w:p>
                  <w:pPr>
                    <w:adjustRightInd w:val="0"/>
                    <w:snapToGrid w:val="0"/>
                    <w:jc w:val="center"/>
                  </w:pPr>
                  <w:r>
                    <w:rPr>
                      <w:rFonts w:hint="eastAsia"/>
                    </w:rPr>
                    <w:t>预拆解</w:t>
                  </w:r>
                </w:p>
              </w:tc>
              <w:tc>
                <w:tcPr>
                  <w:tcW w:w="1124" w:type="dxa"/>
                  <w:vMerge w:val="continue"/>
                  <w:shd w:val="clear" w:color="auto" w:fill="auto"/>
                  <w:noWrap/>
                  <w:vAlign w:val="center"/>
                </w:tcPr>
                <w:p>
                  <w:pPr>
                    <w:snapToGrid w:val="0"/>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7"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lang w:val="en-US" w:eastAsia="zh-CN"/>
                    </w:rPr>
                    <w:t>3</w:t>
                  </w:r>
                </w:p>
              </w:tc>
              <w:tc>
                <w:tcPr>
                  <w:tcW w:w="1829" w:type="dxa"/>
                  <w:shd w:val="clear" w:color="auto" w:fill="auto"/>
                  <w:noWrap/>
                  <w:vAlign w:val="center"/>
                </w:tcPr>
                <w:p>
                  <w:pPr>
                    <w:jc w:val="center"/>
                  </w:pPr>
                  <w:r>
                    <w:t>废</w:t>
                  </w:r>
                  <w:r>
                    <w:rPr>
                      <w:rFonts w:hint="eastAsia"/>
                    </w:rPr>
                    <w:t>橡胶</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343.8</w:t>
                  </w:r>
                </w:p>
              </w:tc>
              <w:tc>
                <w:tcPr>
                  <w:tcW w:w="1312" w:type="dxa"/>
                  <w:vMerge w:val="restart"/>
                  <w:shd w:val="clear" w:color="auto" w:fill="auto"/>
                  <w:noWrap/>
                  <w:vAlign w:val="center"/>
                </w:tcPr>
                <w:p>
                  <w:pPr>
                    <w:adjustRightInd w:val="0"/>
                    <w:snapToGrid w:val="0"/>
                    <w:jc w:val="center"/>
                  </w:pPr>
                  <w:r>
                    <w:rPr>
                      <w:rFonts w:hint="eastAsia"/>
                    </w:rPr>
                    <w:t>解体拆解</w:t>
                  </w:r>
                </w:p>
              </w:tc>
              <w:tc>
                <w:tcPr>
                  <w:tcW w:w="1124" w:type="dxa"/>
                  <w:vMerge w:val="continue"/>
                  <w:shd w:val="clear" w:color="auto" w:fill="auto"/>
                  <w:noWrap/>
                  <w:vAlign w:val="center"/>
                </w:tcPr>
                <w:p>
                  <w:pPr>
                    <w:snapToGrid w:val="0"/>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726" w:type="dxa"/>
                  <w:shd w:val="clear" w:color="auto" w:fill="auto"/>
                  <w:noWrap/>
                  <w:vAlign w:val="center"/>
                </w:tcPr>
                <w:p>
                  <w:pPr>
                    <w:snapToGrid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p>
              </w:tc>
              <w:tc>
                <w:tcPr>
                  <w:tcW w:w="1829" w:type="dxa"/>
                  <w:shd w:val="clear" w:color="auto" w:fill="auto"/>
                  <w:noWrap/>
                  <w:vAlign w:val="center"/>
                </w:tcPr>
                <w:p>
                  <w:pPr>
                    <w:jc w:val="center"/>
                  </w:pPr>
                  <w:r>
                    <w:t>钢铁</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5510</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5</w:t>
                  </w:r>
                </w:p>
              </w:tc>
              <w:tc>
                <w:tcPr>
                  <w:tcW w:w="1829" w:type="dxa"/>
                  <w:shd w:val="clear" w:color="auto" w:fill="auto"/>
                  <w:noWrap/>
                  <w:vAlign w:val="center"/>
                </w:tcPr>
                <w:p>
                  <w:pPr>
                    <w:jc w:val="center"/>
                    <w:rPr>
                      <w:rFonts w:hint="eastAsia" w:eastAsiaTheme="minorEastAsia"/>
                      <w:lang w:eastAsia="zh-CN"/>
                    </w:rPr>
                  </w:pPr>
                  <w:r>
                    <w:rPr>
                      <w:rFonts w:hint="eastAsia"/>
                      <w:lang w:eastAsia="zh-CN"/>
                    </w:rPr>
                    <w:t>零部件</w:t>
                  </w:r>
                </w:p>
              </w:tc>
              <w:tc>
                <w:tcPr>
                  <w:tcW w:w="1138" w:type="dxa"/>
                  <w:shd w:val="clear" w:color="auto" w:fill="auto"/>
                  <w:noWrap/>
                  <w:vAlign w:val="center"/>
                </w:tcPr>
                <w:p>
                  <w:pPr>
                    <w:adjustRightInd w:val="0"/>
                    <w:snapToGrid w:val="0"/>
                    <w:jc w:val="center"/>
                    <w:rPr>
                      <w:rFonts w:hint="default"/>
                      <w:lang w:val="en-US" w:eastAsia="zh-CN"/>
                    </w:rPr>
                  </w:pPr>
                  <w:r>
                    <w:rPr>
                      <w:rFonts w:hint="eastAsia"/>
                      <w:lang w:val="en-US" w:eastAsia="zh-CN"/>
                    </w:rPr>
                    <w:t>148.8</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lang w:val="en-US" w:eastAsia="zh-CN"/>
                    </w:rPr>
                    <w:t>6</w:t>
                  </w:r>
                </w:p>
              </w:tc>
              <w:tc>
                <w:tcPr>
                  <w:tcW w:w="1829" w:type="dxa"/>
                  <w:shd w:val="clear" w:color="auto" w:fill="auto"/>
                  <w:noWrap/>
                  <w:vAlign w:val="center"/>
                </w:tcPr>
                <w:p>
                  <w:pPr>
                    <w:jc w:val="center"/>
                  </w:pPr>
                  <w:r>
                    <w:t>有色金属</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102.3</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lang w:val="en-US" w:eastAsia="zh-CN"/>
                    </w:rPr>
                    <w:t>7</w:t>
                  </w:r>
                </w:p>
              </w:tc>
              <w:tc>
                <w:tcPr>
                  <w:tcW w:w="1829" w:type="dxa"/>
                  <w:shd w:val="clear" w:color="auto" w:fill="auto"/>
                  <w:noWrap/>
                  <w:vAlign w:val="center"/>
                </w:tcPr>
                <w:p>
                  <w:pPr>
                    <w:jc w:val="center"/>
                  </w:pPr>
                  <w:r>
                    <w:t>废塑料</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62.3</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8</w:t>
                  </w:r>
                </w:p>
              </w:tc>
              <w:tc>
                <w:tcPr>
                  <w:tcW w:w="1829" w:type="dxa"/>
                  <w:shd w:val="clear" w:color="auto" w:fill="auto"/>
                  <w:noWrap/>
                  <w:vAlign w:val="center"/>
                </w:tcPr>
                <w:p>
                  <w:pPr>
                    <w:jc w:val="center"/>
                  </w:pPr>
                  <w:r>
                    <w:t>纤维</w:t>
                  </w:r>
                  <w:r>
                    <w:rPr>
                      <w:rFonts w:hint="eastAsia"/>
                    </w:rPr>
                    <w:t>、</w:t>
                  </w:r>
                  <w:r>
                    <w:t>皮革</w:t>
                  </w:r>
                </w:p>
              </w:tc>
              <w:tc>
                <w:tcPr>
                  <w:tcW w:w="11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60.2</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0" w:hRule="atLeast"/>
              </w:trPr>
              <w:tc>
                <w:tcPr>
                  <w:tcW w:w="726" w:type="dxa"/>
                  <w:shd w:val="clear" w:color="auto" w:fill="auto"/>
                  <w:noWrap/>
                  <w:vAlign w:val="center"/>
                </w:tcPr>
                <w:p>
                  <w:pPr>
                    <w:snapToGrid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9</w:t>
                  </w:r>
                </w:p>
              </w:tc>
              <w:tc>
                <w:tcPr>
                  <w:tcW w:w="1829" w:type="dxa"/>
                  <w:shd w:val="clear" w:color="auto" w:fill="auto"/>
                  <w:noWrap/>
                  <w:vAlign w:val="center"/>
                </w:tcPr>
                <w:p>
                  <w:pPr>
                    <w:jc w:val="center"/>
                    <w:rPr>
                      <w:u w:val="single"/>
                    </w:rPr>
                  </w:pPr>
                  <w:r>
                    <w:rPr>
                      <w:u w:val="single"/>
                    </w:rPr>
                    <w:t>生活垃圾</w:t>
                  </w:r>
                </w:p>
              </w:tc>
              <w:tc>
                <w:tcPr>
                  <w:tcW w:w="1138" w:type="dxa"/>
                  <w:shd w:val="clear" w:color="auto" w:fill="auto"/>
                  <w:noWrap/>
                  <w:vAlign w:val="center"/>
                </w:tcPr>
                <w:p>
                  <w:pPr>
                    <w:adjustRightInd w:val="0"/>
                    <w:snapToGrid w:val="0"/>
                    <w:jc w:val="center"/>
                    <w:rPr>
                      <w:rFonts w:hint="default" w:eastAsiaTheme="minorEastAsia"/>
                      <w:u w:val="single"/>
                      <w:lang w:val="en-US" w:eastAsia="zh-CN"/>
                    </w:rPr>
                  </w:pPr>
                  <w:r>
                    <w:rPr>
                      <w:rFonts w:hint="eastAsia"/>
                      <w:u w:val="single"/>
                      <w:lang w:val="en-US" w:eastAsia="zh-CN"/>
                    </w:rPr>
                    <w:t>3.5</w:t>
                  </w:r>
                </w:p>
              </w:tc>
              <w:tc>
                <w:tcPr>
                  <w:tcW w:w="1312" w:type="dxa"/>
                  <w:shd w:val="clear" w:color="auto" w:fill="auto"/>
                  <w:noWrap/>
                  <w:vAlign w:val="center"/>
                </w:tcPr>
                <w:p>
                  <w:pPr>
                    <w:adjustRightInd w:val="0"/>
                    <w:snapToGrid w:val="0"/>
                    <w:jc w:val="center"/>
                    <w:rPr>
                      <w:u w:val="single"/>
                    </w:rPr>
                  </w:pPr>
                  <w:r>
                    <w:rPr>
                      <w:rFonts w:hint="eastAsia"/>
                      <w:u w:val="single"/>
                    </w:rPr>
                    <w:t>职工生活</w:t>
                  </w:r>
                </w:p>
              </w:tc>
              <w:tc>
                <w:tcPr>
                  <w:tcW w:w="1124" w:type="dxa"/>
                  <w:vMerge w:val="restart"/>
                  <w:shd w:val="clear" w:color="auto" w:fill="auto"/>
                  <w:noWrap/>
                  <w:vAlign w:val="center"/>
                </w:tcPr>
                <w:p>
                  <w:pPr>
                    <w:jc w:val="center"/>
                    <w:rPr>
                      <w:u w:val="single"/>
                    </w:rPr>
                  </w:pPr>
                  <w:r>
                    <w:rPr>
                      <w:u w:val="single"/>
                    </w:rPr>
                    <w:t>垃圾桶</w:t>
                  </w:r>
                </w:p>
              </w:tc>
              <w:tc>
                <w:tcPr>
                  <w:tcW w:w="726" w:type="dxa"/>
                  <w:vMerge w:val="restart"/>
                  <w:shd w:val="clear" w:color="auto" w:fill="auto"/>
                  <w:noWrap/>
                  <w:vAlign w:val="center"/>
                </w:tcPr>
                <w:p>
                  <w:pPr>
                    <w:snapToGrid w:val="0"/>
                    <w:jc w:val="center"/>
                    <w:rPr>
                      <w:u w:val="single"/>
                    </w:rPr>
                  </w:pPr>
                  <w:r>
                    <w:rPr>
                      <w:rFonts w:hint="eastAsia"/>
                      <w:u w:val="single"/>
                    </w:rPr>
                    <w:t>一般固体废物</w:t>
                  </w:r>
                </w:p>
              </w:tc>
              <w:tc>
                <w:tcPr>
                  <w:tcW w:w="1157" w:type="dxa"/>
                  <w:vMerge w:val="restart"/>
                  <w:shd w:val="clear" w:color="auto" w:fill="auto"/>
                  <w:noWrap/>
                  <w:vAlign w:val="center"/>
                </w:tcPr>
                <w:p>
                  <w:pPr>
                    <w:snapToGrid w:val="0"/>
                    <w:rPr>
                      <w:u w:val="single"/>
                    </w:rPr>
                  </w:pPr>
                  <w:r>
                    <w:rPr>
                      <w:rFonts w:hint="eastAsia"/>
                      <w:u w:val="single"/>
                    </w:rPr>
                    <w:t>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0</w:t>
                  </w:r>
                </w:p>
              </w:tc>
              <w:tc>
                <w:tcPr>
                  <w:tcW w:w="1829" w:type="dxa"/>
                  <w:shd w:val="clear" w:color="auto" w:fill="auto"/>
                  <w:noWrap/>
                  <w:vAlign w:val="center"/>
                </w:tcPr>
                <w:p>
                  <w:pPr>
                    <w:jc w:val="center"/>
                    <w:rPr>
                      <w:u w:val="single"/>
                    </w:rPr>
                  </w:pPr>
                  <w:r>
                    <w:rPr>
                      <w:u w:val="single"/>
                    </w:rPr>
                    <w:t>含油抹布</w:t>
                  </w:r>
                  <w:r>
                    <w:rPr>
                      <w:rFonts w:hint="eastAsia"/>
                      <w:u w:val="single"/>
                    </w:rPr>
                    <w:t>、</w:t>
                  </w:r>
                  <w:r>
                    <w:rPr>
                      <w:u w:val="single"/>
                    </w:rPr>
                    <w:t>手套</w:t>
                  </w:r>
                </w:p>
              </w:tc>
              <w:tc>
                <w:tcPr>
                  <w:tcW w:w="1138" w:type="dxa"/>
                  <w:shd w:val="clear" w:color="auto" w:fill="auto"/>
                  <w:noWrap/>
                  <w:vAlign w:val="center"/>
                </w:tcPr>
                <w:p>
                  <w:pPr>
                    <w:adjustRightInd w:val="0"/>
                    <w:snapToGrid w:val="0"/>
                    <w:jc w:val="center"/>
                    <w:rPr>
                      <w:rFonts w:hint="default" w:eastAsiaTheme="minorEastAsia"/>
                      <w:u w:val="single"/>
                      <w:lang w:val="en-US" w:eastAsia="zh-CN"/>
                    </w:rPr>
                  </w:pPr>
                  <w:r>
                    <w:rPr>
                      <w:rFonts w:hint="eastAsia"/>
                      <w:u w:val="single"/>
                      <w:lang w:val="en-US" w:eastAsia="zh-CN"/>
                    </w:rPr>
                    <w:t>0.4</w:t>
                  </w:r>
                </w:p>
              </w:tc>
              <w:tc>
                <w:tcPr>
                  <w:tcW w:w="1312" w:type="dxa"/>
                  <w:shd w:val="clear" w:color="auto" w:fill="auto"/>
                  <w:noWrap/>
                  <w:vAlign w:val="center"/>
                </w:tcPr>
                <w:p>
                  <w:pPr>
                    <w:adjustRightInd w:val="0"/>
                    <w:snapToGrid w:val="0"/>
                    <w:jc w:val="center"/>
                    <w:rPr>
                      <w:u w:val="single"/>
                    </w:rPr>
                  </w:pPr>
                  <w:r>
                    <w:rPr>
                      <w:rFonts w:hint="eastAsia"/>
                      <w:u w:val="single"/>
                    </w:rPr>
                    <w:t>农机拆解</w:t>
                  </w:r>
                </w:p>
              </w:tc>
              <w:tc>
                <w:tcPr>
                  <w:tcW w:w="1124" w:type="dxa"/>
                  <w:vMerge w:val="continue"/>
                  <w:shd w:val="clear" w:color="auto" w:fill="auto"/>
                  <w:noWrap/>
                  <w:vAlign w:val="center"/>
                </w:tcPr>
                <w:p>
                  <w:pPr>
                    <w:jc w:val="center"/>
                    <w:rPr>
                      <w:u w:val="single"/>
                    </w:rPr>
                  </w:pPr>
                </w:p>
              </w:tc>
              <w:tc>
                <w:tcPr>
                  <w:tcW w:w="726" w:type="dxa"/>
                  <w:vMerge w:val="continue"/>
                  <w:shd w:val="clear" w:color="auto" w:fill="auto"/>
                  <w:noWrap/>
                  <w:vAlign w:val="center"/>
                </w:tcPr>
                <w:p>
                  <w:pPr>
                    <w:snapToGrid w:val="0"/>
                    <w:jc w:val="center"/>
                    <w:rPr>
                      <w:u w:val="single"/>
                    </w:rPr>
                  </w:pPr>
                </w:p>
              </w:tc>
              <w:tc>
                <w:tcPr>
                  <w:tcW w:w="1157" w:type="dxa"/>
                  <w:vMerge w:val="continue"/>
                  <w:shd w:val="clear" w:color="auto" w:fill="auto"/>
                  <w:noWrap/>
                  <w:vAlign w:val="center"/>
                </w:tcPr>
                <w:p>
                  <w:pPr>
                    <w:snapToGrid w:val="0"/>
                    <w:rPr>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1</w:t>
                  </w:r>
                </w:p>
              </w:tc>
              <w:tc>
                <w:tcPr>
                  <w:tcW w:w="1829" w:type="dxa"/>
                  <w:shd w:val="clear" w:color="auto" w:fill="auto"/>
                  <w:noWrap/>
                  <w:vAlign w:val="center"/>
                </w:tcPr>
                <w:p>
                  <w:pPr>
                    <w:jc w:val="center"/>
                  </w:pPr>
                  <w:r>
                    <w:t>废机油</w:t>
                  </w:r>
                </w:p>
              </w:tc>
              <w:tc>
                <w:tcPr>
                  <w:tcW w:w="1138" w:type="dxa"/>
                  <w:shd w:val="clear" w:color="auto" w:fill="auto"/>
                  <w:noWrap/>
                  <w:vAlign w:val="center"/>
                </w:tcPr>
                <w:p>
                  <w:pPr>
                    <w:jc w:val="center"/>
                    <w:rPr>
                      <w:rFonts w:hint="default" w:eastAsiaTheme="minorEastAsia"/>
                      <w:lang w:val="en-US" w:eastAsia="zh-CN"/>
                    </w:rPr>
                  </w:pPr>
                  <w:r>
                    <w:rPr>
                      <w:rFonts w:hint="eastAsia"/>
                      <w:lang w:val="en-US" w:eastAsia="zh-CN"/>
                    </w:rPr>
                    <w:t>25</w:t>
                  </w:r>
                </w:p>
              </w:tc>
              <w:tc>
                <w:tcPr>
                  <w:tcW w:w="1312" w:type="dxa"/>
                  <w:vMerge w:val="restart"/>
                  <w:shd w:val="clear" w:color="auto" w:fill="auto"/>
                  <w:noWrap/>
                  <w:vAlign w:val="center"/>
                </w:tcPr>
                <w:p>
                  <w:pPr>
                    <w:adjustRightInd w:val="0"/>
                    <w:snapToGrid w:val="0"/>
                    <w:jc w:val="center"/>
                  </w:pPr>
                  <w:r>
                    <w:rPr>
                      <w:rFonts w:hint="eastAsia"/>
                    </w:rPr>
                    <w:t>预拆解</w:t>
                  </w:r>
                </w:p>
              </w:tc>
              <w:tc>
                <w:tcPr>
                  <w:tcW w:w="1124" w:type="dxa"/>
                  <w:vMerge w:val="restart"/>
                  <w:shd w:val="clear" w:color="auto" w:fill="auto"/>
                  <w:noWrap/>
                  <w:vAlign w:val="center"/>
                </w:tcPr>
                <w:p>
                  <w:pPr>
                    <w:jc w:val="center"/>
                  </w:pPr>
                  <w:r>
                    <w:t>分类专用容器装存</w:t>
                  </w:r>
                  <w:r>
                    <w:rPr>
                      <w:rFonts w:hint="eastAsia"/>
                    </w:rPr>
                    <w:t>，</w:t>
                  </w:r>
                  <w:r>
                    <w:t>暂存于危险废物暂存间</w:t>
                  </w:r>
                </w:p>
              </w:tc>
              <w:tc>
                <w:tcPr>
                  <w:tcW w:w="726" w:type="dxa"/>
                  <w:vMerge w:val="restart"/>
                  <w:shd w:val="clear" w:color="auto" w:fill="auto"/>
                  <w:noWrap/>
                  <w:vAlign w:val="center"/>
                </w:tcPr>
                <w:p>
                  <w:pPr>
                    <w:snapToGrid w:val="0"/>
                    <w:jc w:val="center"/>
                  </w:pPr>
                  <w:r>
                    <w:rPr>
                      <w:rFonts w:hint="eastAsia"/>
                    </w:rPr>
                    <w:t>危险</w:t>
                  </w:r>
                </w:p>
                <w:p>
                  <w:pPr>
                    <w:snapToGrid w:val="0"/>
                    <w:jc w:val="center"/>
                  </w:pPr>
                  <w:r>
                    <w:rPr>
                      <w:rFonts w:hint="eastAsia"/>
                    </w:rPr>
                    <w:t>废物</w:t>
                  </w:r>
                </w:p>
              </w:tc>
              <w:tc>
                <w:tcPr>
                  <w:tcW w:w="1157" w:type="dxa"/>
                  <w:vMerge w:val="restart"/>
                  <w:shd w:val="clear" w:color="auto" w:fill="auto"/>
                  <w:noWrap/>
                  <w:vAlign w:val="center"/>
                </w:tcPr>
                <w:p>
                  <w:pPr>
                    <w:snapToGrid w:val="0"/>
                  </w:pPr>
                  <w:r>
                    <w:rPr>
                      <w:rFonts w:hint="eastAsia"/>
                    </w:rPr>
                    <w:t>定期交有资质单位处理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2</w:t>
                  </w:r>
                </w:p>
              </w:tc>
              <w:tc>
                <w:tcPr>
                  <w:tcW w:w="1829"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t>废</w:t>
                  </w:r>
                  <w:r>
                    <w:rPr>
                      <w:rFonts w:hint="eastAsia"/>
                      <w:lang w:eastAsia="zh-CN"/>
                    </w:rPr>
                    <w:t>铅蓄</w:t>
                  </w:r>
                  <w:r>
                    <w:t>电池</w:t>
                  </w:r>
                </w:p>
              </w:tc>
              <w:tc>
                <w:tcPr>
                  <w:tcW w:w="1138" w:type="dxa"/>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100</w:t>
                  </w:r>
                </w:p>
              </w:tc>
              <w:tc>
                <w:tcPr>
                  <w:tcW w:w="1312" w:type="dxa"/>
                  <w:vMerge w:val="continue"/>
                  <w:shd w:val="clear" w:color="auto" w:fill="auto"/>
                  <w:noWrap/>
                  <w:vAlign w:val="center"/>
                </w:tcPr>
                <w:p>
                  <w:pPr>
                    <w:adjustRightInd w:val="0"/>
                    <w:snapToGrid w:val="0"/>
                    <w:jc w:val="center"/>
                    <w:rPr>
                      <w:rFonts w:hint="eastAsia"/>
                    </w:rP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rPr>
                      <w:rFonts w:hint="eastAsia"/>
                    </w:rPr>
                  </w:pPr>
                </w:p>
              </w:tc>
              <w:tc>
                <w:tcPr>
                  <w:tcW w:w="1157" w:type="dxa"/>
                  <w:vMerge w:val="continue"/>
                  <w:shd w:val="clear" w:color="auto" w:fill="auto"/>
                  <w:noWrap/>
                  <w:vAlign w:val="center"/>
                </w:tcPr>
                <w:p>
                  <w:pPr>
                    <w:snapToGrid w:val="0"/>
                    <w:rPr>
                      <w:rFonts w:hint="eastAsi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3</w:t>
                  </w:r>
                </w:p>
              </w:tc>
              <w:tc>
                <w:tcPr>
                  <w:tcW w:w="1829" w:type="dxa"/>
                  <w:shd w:val="clear" w:color="auto" w:fill="auto"/>
                  <w:noWrap/>
                  <w:vAlign w:val="center"/>
                </w:tcPr>
                <w:p>
                  <w:pPr>
                    <w:jc w:val="center"/>
                  </w:pPr>
                  <w:r>
                    <w:t>剩余</w:t>
                  </w:r>
                  <w:r>
                    <w:rPr>
                      <w:rFonts w:hint="eastAsia"/>
                      <w:lang w:eastAsia="zh-CN"/>
                    </w:rPr>
                    <w:t>柴</w:t>
                  </w:r>
                  <w:r>
                    <w:t>油</w:t>
                  </w:r>
                </w:p>
              </w:tc>
              <w:tc>
                <w:tcPr>
                  <w:tcW w:w="1138" w:type="dxa"/>
                  <w:shd w:val="clear" w:color="auto" w:fill="auto"/>
                  <w:noWrap/>
                  <w:vAlign w:val="center"/>
                </w:tcPr>
                <w:p>
                  <w:pPr>
                    <w:jc w:val="center"/>
                    <w:rPr>
                      <w:rFonts w:hint="eastAsia" w:eastAsiaTheme="minorEastAsia"/>
                      <w:lang w:val="en-US" w:eastAsia="zh-CN"/>
                    </w:rPr>
                  </w:pPr>
                  <w:r>
                    <w:rPr>
                      <w:rFonts w:hint="eastAsia"/>
                      <w:lang w:val="en-US" w:eastAsia="zh-CN"/>
                    </w:rPr>
                    <w:t>5.5</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4</w:t>
                  </w:r>
                </w:p>
              </w:tc>
              <w:tc>
                <w:tcPr>
                  <w:tcW w:w="1829" w:type="dxa"/>
                  <w:shd w:val="clear" w:color="auto" w:fill="auto"/>
                  <w:noWrap/>
                  <w:vAlign w:val="center"/>
                </w:tcPr>
                <w:p>
                  <w:pPr>
                    <w:jc w:val="center"/>
                  </w:pPr>
                  <w:r>
                    <w:t>废防冻</w:t>
                  </w:r>
                  <w:r>
                    <w:rPr>
                      <w:rFonts w:hint="eastAsia"/>
                    </w:rPr>
                    <w:t>剂</w:t>
                  </w:r>
                </w:p>
              </w:tc>
              <w:tc>
                <w:tcPr>
                  <w:tcW w:w="1138" w:type="dxa"/>
                  <w:shd w:val="clear" w:color="auto" w:fill="auto"/>
                  <w:noWrap/>
                  <w:vAlign w:val="center"/>
                </w:tcPr>
                <w:p>
                  <w:pPr>
                    <w:jc w:val="center"/>
                    <w:rPr>
                      <w:rFonts w:hint="eastAsia" w:eastAsiaTheme="minorEastAsia"/>
                      <w:lang w:val="en-US" w:eastAsia="zh-CN"/>
                    </w:rPr>
                  </w:pPr>
                  <w:r>
                    <w:rPr>
                      <w:rFonts w:hint="eastAsia"/>
                      <w:lang w:val="en-US" w:eastAsia="zh-CN"/>
                    </w:rPr>
                    <w:t>5.5</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5</w:t>
                  </w:r>
                </w:p>
              </w:tc>
              <w:tc>
                <w:tcPr>
                  <w:tcW w:w="1829" w:type="dxa"/>
                  <w:shd w:val="clear" w:color="auto" w:fill="auto"/>
                  <w:noWrap/>
                  <w:vAlign w:val="center"/>
                </w:tcPr>
                <w:p>
                  <w:pPr>
                    <w:jc w:val="center"/>
                  </w:pPr>
                  <w:r>
                    <w:t>制动液</w:t>
                  </w:r>
                </w:p>
              </w:tc>
              <w:tc>
                <w:tcPr>
                  <w:tcW w:w="1138" w:type="dxa"/>
                  <w:shd w:val="clear" w:color="auto" w:fill="auto"/>
                  <w:noWrap/>
                  <w:vAlign w:val="center"/>
                </w:tcPr>
                <w:p>
                  <w:pPr>
                    <w:jc w:val="center"/>
                    <w:rPr>
                      <w:rFonts w:hint="default" w:eastAsiaTheme="minorEastAsia"/>
                      <w:lang w:val="en-US" w:eastAsia="zh-CN"/>
                    </w:rPr>
                  </w:pPr>
                  <w:r>
                    <w:rPr>
                      <w:rFonts w:hint="eastAsia"/>
                      <w:lang w:val="en-US" w:eastAsia="zh-CN"/>
                    </w:rPr>
                    <w:t>19</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60"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6</w:t>
                  </w:r>
                </w:p>
              </w:tc>
              <w:tc>
                <w:tcPr>
                  <w:tcW w:w="1829" w:type="dxa"/>
                  <w:shd w:val="clear" w:color="auto" w:fill="auto"/>
                  <w:noWrap/>
                  <w:vAlign w:val="center"/>
                </w:tcPr>
                <w:p>
                  <w:pPr>
                    <w:jc w:val="center"/>
                  </w:pPr>
                  <w:r>
                    <w:t>废尾气净化装置</w:t>
                  </w:r>
                </w:p>
              </w:tc>
              <w:tc>
                <w:tcPr>
                  <w:tcW w:w="1138" w:type="dxa"/>
                  <w:shd w:val="clear" w:color="auto" w:fill="auto"/>
                  <w:noWrap/>
                  <w:vAlign w:val="center"/>
                </w:tcPr>
                <w:p>
                  <w:pPr>
                    <w:jc w:val="center"/>
                    <w:rPr>
                      <w:rFonts w:hint="default" w:eastAsiaTheme="minorEastAsia"/>
                      <w:lang w:val="en-US" w:eastAsia="zh-CN"/>
                    </w:rPr>
                  </w:pPr>
                  <w:r>
                    <w:rPr>
                      <w:rFonts w:hint="eastAsia"/>
                      <w:lang w:val="en-US" w:eastAsia="zh-CN"/>
                    </w:rPr>
                    <w:t>5.5</w:t>
                  </w:r>
                </w:p>
              </w:tc>
              <w:tc>
                <w:tcPr>
                  <w:tcW w:w="1312" w:type="dxa"/>
                  <w:vMerge w:val="restart"/>
                  <w:shd w:val="clear" w:color="auto" w:fill="auto"/>
                  <w:noWrap/>
                  <w:vAlign w:val="center"/>
                </w:tcPr>
                <w:p>
                  <w:pPr>
                    <w:adjustRightInd w:val="0"/>
                    <w:snapToGrid w:val="0"/>
                    <w:jc w:val="center"/>
                  </w:pPr>
                  <w:r>
                    <w:rPr>
                      <w:rFonts w:hint="eastAsia"/>
                    </w:rPr>
                    <w:t>解体拆解</w:t>
                  </w: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17</w:t>
                  </w:r>
                </w:p>
              </w:tc>
              <w:tc>
                <w:tcPr>
                  <w:tcW w:w="1829" w:type="dxa"/>
                  <w:shd w:val="clear" w:color="auto" w:fill="auto"/>
                  <w:noWrap/>
                  <w:vAlign w:val="center"/>
                </w:tcPr>
                <w:p>
                  <w:pPr>
                    <w:jc w:val="center"/>
                  </w:pPr>
                  <w:r>
                    <w:t>废机油滤清器</w:t>
                  </w:r>
                </w:p>
              </w:tc>
              <w:tc>
                <w:tcPr>
                  <w:tcW w:w="1138" w:type="dxa"/>
                  <w:shd w:val="clear" w:color="auto" w:fill="auto"/>
                  <w:noWrap/>
                  <w:vAlign w:val="center"/>
                </w:tcPr>
                <w:p>
                  <w:pPr>
                    <w:jc w:val="center"/>
                    <w:rPr>
                      <w:rFonts w:hint="default" w:eastAsiaTheme="minorEastAsia"/>
                      <w:lang w:val="en-US" w:eastAsia="zh-CN"/>
                    </w:rPr>
                  </w:pPr>
                  <w:r>
                    <w:rPr>
                      <w:rFonts w:hint="eastAsia"/>
                      <w:lang w:val="en-US" w:eastAsia="zh-CN"/>
                    </w:rPr>
                    <w:t>8.5</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default" w:asciiTheme="minorHAnsi" w:hAnsiTheme="minorHAnsi" w:eastAsiaTheme="minorEastAsia" w:cstheme="minorBidi"/>
                      <w:kern w:val="2"/>
                      <w:sz w:val="21"/>
                      <w:szCs w:val="24"/>
                      <w:lang w:val="en-US" w:eastAsia="zh-CN" w:bidi="ar-SA"/>
                    </w:rPr>
                  </w:pPr>
                  <w:r>
                    <w:rPr>
                      <w:rFonts w:hint="eastAsia"/>
                    </w:rPr>
                    <w:t>18</w:t>
                  </w:r>
                </w:p>
              </w:tc>
              <w:tc>
                <w:tcPr>
                  <w:tcW w:w="1829" w:type="dxa"/>
                  <w:shd w:val="clear" w:color="auto" w:fill="auto"/>
                  <w:noWrap/>
                  <w:vAlign w:val="center"/>
                </w:tcPr>
                <w:p>
                  <w:pPr>
                    <w:jc w:val="center"/>
                    <w:rPr>
                      <w:rFonts w:hint="default" w:asciiTheme="minorAscii" w:hAnsiTheme="minorAscii" w:eastAsiaTheme="minorEastAsia"/>
                      <w:spacing w:val="-11"/>
                      <w:sz w:val="21"/>
                    </w:rPr>
                  </w:pPr>
                  <w:r>
                    <w:rPr>
                      <w:rFonts w:hint="default" w:asciiTheme="minorAscii" w:hAnsiTheme="minorAscii" w:eastAsiaTheme="minorEastAsia"/>
                      <w:spacing w:val="-11"/>
                      <w:sz w:val="21"/>
                    </w:rPr>
                    <w:t>废含汞开关、电路板</w:t>
                  </w:r>
                </w:p>
              </w:tc>
              <w:tc>
                <w:tcPr>
                  <w:tcW w:w="1138" w:type="dxa"/>
                  <w:shd w:val="clear" w:color="auto" w:fill="auto"/>
                  <w:noWrap/>
                  <w:vAlign w:val="center"/>
                </w:tcPr>
                <w:p>
                  <w:pPr>
                    <w:jc w:val="center"/>
                    <w:rPr>
                      <w:rFonts w:hint="eastAsia" w:eastAsiaTheme="minorEastAsia"/>
                      <w:lang w:val="en-US" w:eastAsia="zh-CN"/>
                    </w:rPr>
                  </w:pPr>
                  <w:r>
                    <w:rPr>
                      <w:rFonts w:hint="eastAsia"/>
                      <w:lang w:val="en-US" w:eastAsia="zh-CN"/>
                    </w:rPr>
                    <w:t>7.5</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rPr>
                    <w:t>19</w:t>
                  </w:r>
                </w:p>
              </w:tc>
              <w:tc>
                <w:tcPr>
                  <w:tcW w:w="1829" w:type="dxa"/>
                  <w:shd w:val="clear" w:color="auto" w:fill="auto"/>
                  <w:noWrap/>
                  <w:vAlign w:val="center"/>
                </w:tcPr>
                <w:p>
                  <w:pPr>
                    <w:jc w:val="center"/>
                  </w:pPr>
                  <w:r>
                    <w:t>电容器</w:t>
                  </w:r>
                </w:p>
              </w:tc>
              <w:tc>
                <w:tcPr>
                  <w:tcW w:w="1138" w:type="dxa"/>
                  <w:shd w:val="clear" w:color="auto" w:fill="auto"/>
                  <w:noWrap/>
                  <w:vAlign w:val="center"/>
                </w:tcPr>
                <w:p>
                  <w:pPr>
                    <w:jc w:val="center"/>
                    <w:rPr>
                      <w:rFonts w:hint="eastAsia" w:eastAsiaTheme="minorEastAsia"/>
                      <w:lang w:val="en-US" w:eastAsia="zh-CN"/>
                    </w:rPr>
                  </w:pPr>
                  <w:r>
                    <w:rPr>
                      <w:rFonts w:hint="eastAsia"/>
                      <w:lang w:val="en-US" w:eastAsia="zh-CN"/>
                    </w:rPr>
                    <w:t>6.5</w:t>
                  </w:r>
                </w:p>
              </w:tc>
              <w:tc>
                <w:tcPr>
                  <w:tcW w:w="1312" w:type="dxa"/>
                  <w:vMerge w:val="continue"/>
                  <w:shd w:val="clear" w:color="auto" w:fill="auto"/>
                  <w:noWrap/>
                  <w:vAlign w:val="center"/>
                </w:tcPr>
                <w:p>
                  <w:pPr>
                    <w:adjustRightInd w:val="0"/>
                    <w:snapToGrid w:val="0"/>
                    <w:jc w:val="center"/>
                  </w:pP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asciiTheme="minorHAnsi" w:hAnsiTheme="minorHAnsi" w:eastAsiaTheme="minorEastAsia" w:cstheme="minorBidi"/>
                      <w:kern w:val="2"/>
                      <w:sz w:val="21"/>
                      <w:szCs w:val="24"/>
                      <w:lang w:val="en-US" w:eastAsia="zh-CN" w:bidi="ar-SA"/>
                    </w:rPr>
                  </w:pPr>
                  <w:r>
                    <w:rPr>
                      <w:rFonts w:hint="eastAsia"/>
                    </w:rPr>
                    <w:t>20</w:t>
                  </w:r>
                </w:p>
              </w:tc>
              <w:tc>
                <w:tcPr>
                  <w:tcW w:w="1829" w:type="dxa"/>
                  <w:shd w:val="clear" w:color="auto" w:fill="auto"/>
                  <w:noWrap/>
                  <w:vAlign w:val="center"/>
                </w:tcPr>
                <w:p>
                  <w:pPr>
                    <w:jc w:val="center"/>
                  </w:pPr>
                  <w:r>
                    <w:t>含油污泥</w:t>
                  </w:r>
                </w:p>
              </w:tc>
              <w:tc>
                <w:tcPr>
                  <w:tcW w:w="1138" w:type="dxa"/>
                  <w:shd w:val="clear" w:color="auto" w:fill="auto"/>
                  <w:noWrap/>
                  <w:vAlign w:val="center"/>
                </w:tcPr>
                <w:p>
                  <w:pPr>
                    <w:topLinePunct/>
                    <w:adjustRightInd w:val="0"/>
                    <w:snapToGrid w:val="0"/>
                    <w:jc w:val="center"/>
                    <w:rPr>
                      <w:rFonts w:hint="default" w:eastAsiaTheme="minorEastAsia"/>
                      <w:lang w:val="en-US" w:eastAsia="zh-CN"/>
                    </w:rPr>
                  </w:pPr>
                  <w:r>
                    <w:rPr>
                      <w:rFonts w:hint="eastAsia"/>
                      <w:lang w:val="en-US" w:eastAsia="zh-CN"/>
                    </w:rPr>
                    <w:t>0.2</w:t>
                  </w:r>
                </w:p>
              </w:tc>
              <w:tc>
                <w:tcPr>
                  <w:tcW w:w="1312" w:type="dxa"/>
                  <w:shd w:val="clear" w:color="auto" w:fill="auto"/>
                  <w:noWrap/>
                  <w:vAlign w:val="center"/>
                </w:tcPr>
                <w:p>
                  <w:pPr>
                    <w:adjustRightInd w:val="0"/>
                    <w:snapToGrid w:val="0"/>
                    <w:jc w:val="center"/>
                  </w:pPr>
                  <w:r>
                    <w:rPr>
                      <w:rFonts w:hint="eastAsia"/>
                    </w:rPr>
                    <w:t>废水治理</w:t>
                  </w: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2" w:hRule="atLeast"/>
              </w:trPr>
              <w:tc>
                <w:tcPr>
                  <w:tcW w:w="726" w:type="dxa"/>
                  <w:shd w:val="clear" w:color="auto" w:fill="auto"/>
                  <w:noWrap/>
                  <w:vAlign w:val="center"/>
                </w:tcPr>
                <w:p>
                  <w:pPr>
                    <w:snapToGrid w:val="0"/>
                    <w:jc w:val="center"/>
                    <w:rPr>
                      <w:rFonts w:hint="default" w:eastAsiaTheme="minorEastAsia"/>
                      <w:lang w:val="en-US" w:eastAsia="zh-CN"/>
                    </w:rPr>
                  </w:pPr>
                  <w:r>
                    <w:rPr>
                      <w:rFonts w:hint="eastAsia"/>
                      <w:lang w:val="en-US" w:eastAsia="zh-CN"/>
                    </w:rPr>
                    <w:t>21</w:t>
                  </w:r>
                </w:p>
              </w:tc>
              <w:tc>
                <w:tcPr>
                  <w:tcW w:w="1829" w:type="dxa"/>
                  <w:shd w:val="clear" w:color="auto" w:fill="auto"/>
                  <w:noWrap/>
                  <w:vAlign w:val="center"/>
                </w:tcPr>
                <w:p>
                  <w:pPr>
                    <w:jc w:val="center"/>
                  </w:pPr>
                  <w:r>
                    <w:t>废活性炭</w:t>
                  </w:r>
                </w:p>
              </w:tc>
              <w:tc>
                <w:tcPr>
                  <w:tcW w:w="1138" w:type="dxa"/>
                  <w:shd w:val="clear" w:color="auto" w:fill="auto"/>
                  <w:noWrap/>
                  <w:vAlign w:val="center"/>
                </w:tcPr>
                <w:p>
                  <w:pPr>
                    <w:topLinePunct/>
                    <w:adjustRightInd w:val="0"/>
                    <w:snapToGrid w:val="0"/>
                    <w:jc w:val="center"/>
                    <w:rPr>
                      <w:rFonts w:hint="default" w:eastAsiaTheme="minorEastAsia"/>
                      <w:lang w:val="en-US" w:eastAsia="zh-CN"/>
                    </w:rPr>
                  </w:pPr>
                  <w:r>
                    <w:rPr>
                      <w:rFonts w:hint="eastAsia"/>
                      <w:lang w:val="en-US" w:eastAsia="zh-CN"/>
                    </w:rPr>
                    <w:t>0.25</w:t>
                  </w:r>
                </w:p>
              </w:tc>
              <w:tc>
                <w:tcPr>
                  <w:tcW w:w="1312" w:type="dxa"/>
                  <w:shd w:val="clear" w:color="auto" w:fill="auto"/>
                  <w:noWrap/>
                  <w:vAlign w:val="center"/>
                </w:tcPr>
                <w:p>
                  <w:pPr>
                    <w:adjustRightInd w:val="0"/>
                    <w:snapToGrid w:val="0"/>
                    <w:jc w:val="center"/>
                  </w:pPr>
                  <w:r>
                    <w:rPr>
                      <w:rFonts w:hint="eastAsia"/>
                    </w:rPr>
                    <w:t>废气治理</w:t>
                  </w:r>
                </w:p>
              </w:tc>
              <w:tc>
                <w:tcPr>
                  <w:tcW w:w="1124" w:type="dxa"/>
                  <w:vMerge w:val="continue"/>
                  <w:shd w:val="clear" w:color="auto" w:fill="auto"/>
                  <w:noWrap/>
                  <w:vAlign w:val="center"/>
                </w:tcPr>
                <w:p>
                  <w:pPr>
                    <w:jc w:val="center"/>
                  </w:pPr>
                </w:p>
              </w:tc>
              <w:tc>
                <w:tcPr>
                  <w:tcW w:w="726" w:type="dxa"/>
                  <w:vMerge w:val="continue"/>
                  <w:shd w:val="clear" w:color="auto" w:fill="auto"/>
                  <w:noWrap/>
                  <w:vAlign w:val="center"/>
                </w:tcPr>
                <w:p>
                  <w:pPr>
                    <w:snapToGrid w:val="0"/>
                    <w:jc w:val="center"/>
                  </w:pPr>
                </w:p>
              </w:tc>
              <w:tc>
                <w:tcPr>
                  <w:tcW w:w="1157" w:type="dxa"/>
                  <w:vMerge w:val="continue"/>
                  <w:shd w:val="clear" w:color="auto" w:fill="auto"/>
                  <w:noWrap/>
                  <w:vAlign w:val="center"/>
                </w:tcPr>
                <w:p>
                  <w:pPr>
                    <w:snapToGrid w:val="0"/>
                    <w:jc w:val="center"/>
                  </w:pPr>
                </w:p>
              </w:tc>
            </w:tr>
          </w:tbl>
          <w:p>
            <w:pPr>
              <w:spacing w:line="360" w:lineRule="auto"/>
              <w:ind w:firstLine="480"/>
              <w:jc w:val="left"/>
              <w:rPr>
                <w:sz w:val="24"/>
                <w:szCs w:val="24"/>
              </w:rPr>
            </w:pPr>
            <w:r>
              <w:rPr>
                <w:rFonts w:hint="eastAsia"/>
                <w:sz w:val="24"/>
                <w:szCs w:val="24"/>
              </w:rPr>
              <w:t>上表中，毁形总成、废玻璃、废橡胶、钢铁、废</w:t>
            </w:r>
            <w:r>
              <w:rPr>
                <w:rFonts w:hint="eastAsia"/>
                <w:sz w:val="24"/>
                <w:szCs w:val="24"/>
                <w:lang w:eastAsia="zh-CN"/>
              </w:rPr>
              <w:t>铅蓄</w:t>
            </w:r>
            <w:r>
              <w:rPr>
                <w:rFonts w:hint="eastAsia"/>
                <w:sz w:val="24"/>
                <w:szCs w:val="24"/>
              </w:rPr>
              <w:t>电池、零部件、有色金属、废塑料、纤维、皮革外售下游回收单位综合利用；含油抹布和手套与生活垃圾分类存储，交环卫部门处理；废机油、剩余燃油、废防冻剂、制动液、废油箱、废尾气净化装置、废机油滤清器、废含汞开关、电路板、电容器、废活性炭、含油污泥作为危险废物，分类使用专用容器装存，暂存于危险废物暂存间，定期交有资质单位处理。</w:t>
            </w:r>
          </w:p>
          <w:p>
            <w:pPr>
              <w:spacing w:line="360" w:lineRule="auto"/>
              <w:ind w:firstLine="480" w:firstLineChars="200"/>
              <w:rPr>
                <w:sz w:val="24"/>
                <w:szCs w:val="24"/>
              </w:rPr>
            </w:pPr>
            <w:r>
              <w:rPr>
                <w:rFonts w:hint="eastAsia"/>
                <w:sz w:val="24"/>
                <w:szCs w:val="24"/>
              </w:rPr>
              <w:t>本项目各项固体废物及拆解物产生情况如下：</w:t>
            </w:r>
          </w:p>
          <w:p>
            <w:pPr>
              <w:spacing w:line="360" w:lineRule="auto"/>
              <w:ind w:firstLine="482" w:firstLineChars="200"/>
              <w:rPr>
                <w:b/>
                <w:bCs/>
                <w:sz w:val="24"/>
                <w:szCs w:val="24"/>
              </w:rPr>
            </w:pPr>
            <w:r>
              <w:rPr>
                <w:rFonts w:hint="eastAsia"/>
                <w:b/>
                <w:bCs/>
                <w:sz w:val="24"/>
                <w:szCs w:val="24"/>
              </w:rPr>
              <w:t>①外售固体拆解物</w:t>
            </w:r>
          </w:p>
          <w:p>
            <w:pPr>
              <w:spacing w:line="360" w:lineRule="auto"/>
              <w:ind w:firstLine="480" w:firstLineChars="200"/>
              <w:rPr>
                <w:sz w:val="24"/>
                <w:szCs w:val="24"/>
              </w:rPr>
            </w:pPr>
            <w:r>
              <w:rPr>
                <w:rFonts w:hint="eastAsia"/>
                <w:sz w:val="24"/>
                <w:szCs w:val="24"/>
              </w:rPr>
              <w:t>本项目生产规模为年拆解报废农机5000台，其中拖拉机1000台，玉米收割机1000台，水稻收割机1000台，玉米脱粒机1000台，插秧机1000台。</w:t>
            </w:r>
          </w:p>
          <w:p>
            <w:pPr>
              <w:spacing w:line="360" w:lineRule="auto"/>
              <w:ind w:firstLine="480" w:firstLineChars="200"/>
            </w:pPr>
            <w:r>
              <w:rPr>
                <w:rFonts w:hint="eastAsia"/>
                <w:sz w:val="24"/>
                <w:szCs w:val="24"/>
              </w:rPr>
              <w:t>根据建设单位提供资料，农机拆解后各一般属性拆解物产生情况如下：</w:t>
            </w:r>
          </w:p>
          <w:p>
            <w:pPr>
              <w:spacing w:line="360" w:lineRule="auto"/>
              <w:jc w:val="center"/>
              <w:rPr>
                <w:b/>
                <w:bCs/>
                <w:sz w:val="24"/>
                <w:szCs w:val="24"/>
              </w:rPr>
            </w:pPr>
            <w:r>
              <w:rPr>
                <w:rFonts w:hint="eastAsia"/>
                <w:b/>
                <w:bCs/>
                <w:sz w:val="24"/>
                <w:szCs w:val="24"/>
              </w:rPr>
              <w:t>表</w:t>
            </w:r>
            <w:r>
              <w:rPr>
                <w:rFonts w:hint="eastAsia"/>
                <w:b/>
                <w:bCs/>
                <w:sz w:val="24"/>
                <w:szCs w:val="24"/>
                <w:lang w:val="en-US" w:eastAsia="zh-CN"/>
              </w:rPr>
              <w:t>46</w:t>
            </w:r>
            <w:r>
              <w:rPr>
                <w:rFonts w:hint="eastAsia"/>
                <w:b/>
                <w:bCs/>
                <w:sz w:val="24"/>
                <w:szCs w:val="24"/>
              </w:rPr>
              <w:t xml:space="preserve">   一般固体废物属性拆解物产生情况</w:t>
            </w:r>
          </w:p>
          <w:tbl>
            <w:tblPr>
              <w:tblStyle w:val="25"/>
              <w:tblW w:w="79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537"/>
              <w:gridCol w:w="1281"/>
              <w:gridCol w:w="1281"/>
              <w:gridCol w:w="1284"/>
              <w:gridCol w:w="12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34" w:type="dxa"/>
                  <w:vMerge w:val="restart"/>
                  <w:shd w:val="clear" w:color="auto" w:fill="auto"/>
                  <w:noWrap/>
                  <w:vAlign w:val="center"/>
                </w:tcPr>
                <w:p>
                  <w:pPr>
                    <w:jc w:val="center"/>
                    <w:rPr>
                      <w:b/>
                      <w:bCs/>
                    </w:rPr>
                  </w:pPr>
                  <w:r>
                    <w:rPr>
                      <w:rFonts w:hint="eastAsia"/>
                      <w:b/>
                      <w:bCs/>
                    </w:rPr>
                    <w:t>类别</w:t>
                  </w:r>
                </w:p>
              </w:tc>
              <w:tc>
                <w:tcPr>
                  <w:tcW w:w="1537" w:type="dxa"/>
                  <w:shd w:val="clear" w:color="auto" w:fill="auto"/>
                  <w:noWrap/>
                  <w:vAlign w:val="center"/>
                </w:tcPr>
                <w:p>
                  <w:pPr>
                    <w:jc w:val="center"/>
                    <w:rPr>
                      <w:b/>
                      <w:bCs/>
                    </w:rPr>
                  </w:pPr>
                  <w:r>
                    <w:rPr>
                      <w:rFonts w:hint="eastAsia"/>
                      <w:b/>
                      <w:bCs/>
                    </w:rPr>
                    <w:t>拖拉机</w:t>
                  </w:r>
                </w:p>
              </w:tc>
              <w:tc>
                <w:tcPr>
                  <w:tcW w:w="1281" w:type="dxa"/>
                  <w:shd w:val="clear" w:color="auto" w:fill="auto"/>
                  <w:noWrap/>
                  <w:vAlign w:val="center"/>
                </w:tcPr>
                <w:p>
                  <w:pPr>
                    <w:jc w:val="center"/>
                    <w:rPr>
                      <w:b/>
                      <w:bCs/>
                    </w:rPr>
                  </w:pPr>
                  <w:r>
                    <w:rPr>
                      <w:rFonts w:hint="eastAsia"/>
                      <w:b/>
                      <w:bCs/>
                    </w:rPr>
                    <w:t>玉米收割机</w:t>
                  </w:r>
                </w:p>
              </w:tc>
              <w:tc>
                <w:tcPr>
                  <w:tcW w:w="1281" w:type="dxa"/>
                  <w:shd w:val="clear" w:color="auto" w:fill="auto"/>
                  <w:noWrap/>
                  <w:vAlign w:val="center"/>
                </w:tcPr>
                <w:p>
                  <w:pPr>
                    <w:jc w:val="center"/>
                    <w:rPr>
                      <w:b/>
                      <w:bCs/>
                    </w:rPr>
                  </w:pPr>
                  <w:r>
                    <w:rPr>
                      <w:rFonts w:hint="eastAsia"/>
                      <w:b/>
                      <w:bCs/>
                    </w:rPr>
                    <w:t>水稻收割机</w:t>
                  </w:r>
                </w:p>
              </w:tc>
              <w:tc>
                <w:tcPr>
                  <w:tcW w:w="1284" w:type="dxa"/>
                  <w:shd w:val="clear" w:color="auto" w:fill="auto"/>
                  <w:noWrap/>
                  <w:vAlign w:val="center"/>
                </w:tcPr>
                <w:p>
                  <w:pPr>
                    <w:jc w:val="center"/>
                    <w:rPr>
                      <w:b/>
                      <w:bCs/>
                    </w:rPr>
                  </w:pPr>
                  <w:r>
                    <w:rPr>
                      <w:rFonts w:hint="eastAsia"/>
                      <w:b/>
                      <w:bCs/>
                    </w:rPr>
                    <w:t>玉米脱粒机</w:t>
                  </w:r>
                </w:p>
              </w:tc>
              <w:tc>
                <w:tcPr>
                  <w:tcW w:w="1282" w:type="dxa"/>
                  <w:shd w:val="clear" w:color="auto" w:fill="auto"/>
                  <w:noWrap/>
                  <w:vAlign w:val="center"/>
                </w:tcPr>
                <w:p>
                  <w:pPr>
                    <w:jc w:val="center"/>
                    <w:rPr>
                      <w:b/>
                      <w:bCs/>
                    </w:rPr>
                  </w:pPr>
                  <w:r>
                    <w:rPr>
                      <w:rFonts w:hint="eastAsia"/>
                      <w:b/>
                      <w:bCs/>
                    </w:rPr>
                    <w:t>插秧机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34" w:type="dxa"/>
                  <w:vMerge w:val="continue"/>
                  <w:shd w:val="clear" w:color="auto" w:fill="auto"/>
                  <w:noWrap/>
                  <w:vAlign w:val="center"/>
                </w:tcPr>
                <w:p>
                  <w:pPr>
                    <w:jc w:val="center"/>
                    <w:rPr>
                      <w:b/>
                      <w:bCs/>
                    </w:rPr>
                  </w:pPr>
                </w:p>
              </w:tc>
              <w:tc>
                <w:tcPr>
                  <w:tcW w:w="1537" w:type="dxa"/>
                  <w:shd w:val="clear" w:color="auto" w:fill="auto"/>
                  <w:noWrap/>
                  <w:vAlign w:val="center"/>
                </w:tcPr>
                <w:p>
                  <w:pPr>
                    <w:jc w:val="center"/>
                    <w:rPr>
                      <w:b/>
                      <w:bCs/>
                    </w:rPr>
                  </w:pPr>
                  <w:r>
                    <w:rPr>
                      <w:rFonts w:hint="eastAsia"/>
                      <w:b/>
                      <w:bCs/>
                    </w:rPr>
                    <w:t>产生量</w:t>
                  </w:r>
                </w:p>
              </w:tc>
              <w:tc>
                <w:tcPr>
                  <w:tcW w:w="1281" w:type="dxa"/>
                  <w:shd w:val="clear" w:color="auto" w:fill="auto"/>
                  <w:noWrap/>
                  <w:vAlign w:val="center"/>
                </w:tcPr>
                <w:p>
                  <w:pPr>
                    <w:jc w:val="center"/>
                    <w:rPr>
                      <w:b/>
                      <w:bCs/>
                    </w:rPr>
                  </w:pPr>
                  <w:r>
                    <w:rPr>
                      <w:rFonts w:hint="eastAsia"/>
                      <w:b/>
                      <w:bCs/>
                    </w:rPr>
                    <w:t>产生量</w:t>
                  </w:r>
                </w:p>
              </w:tc>
              <w:tc>
                <w:tcPr>
                  <w:tcW w:w="1281" w:type="dxa"/>
                  <w:shd w:val="clear" w:color="auto" w:fill="auto"/>
                  <w:noWrap/>
                  <w:vAlign w:val="center"/>
                </w:tcPr>
                <w:p>
                  <w:pPr>
                    <w:jc w:val="center"/>
                    <w:rPr>
                      <w:b/>
                      <w:bCs/>
                    </w:rPr>
                  </w:pPr>
                  <w:r>
                    <w:rPr>
                      <w:rFonts w:hint="eastAsia"/>
                      <w:b/>
                      <w:bCs/>
                    </w:rPr>
                    <w:t>产生量</w:t>
                  </w:r>
                </w:p>
              </w:tc>
              <w:tc>
                <w:tcPr>
                  <w:tcW w:w="1284" w:type="dxa"/>
                  <w:shd w:val="clear" w:color="auto" w:fill="auto"/>
                  <w:noWrap/>
                  <w:vAlign w:val="center"/>
                </w:tcPr>
                <w:p>
                  <w:pPr>
                    <w:jc w:val="center"/>
                    <w:rPr>
                      <w:b/>
                      <w:bCs/>
                    </w:rPr>
                  </w:pPr>
                  <w:r>
                    <w:rPr>
                      <w:rFonts w:hint="eastAsia"/>
                      <w:b/>
                      <w:bCs/>
                    </w:rPr>
                    <w:t>产生量</w:t>
                  </w:r>
                </w:p>
              </w:tc>
              <w:tc>
                <w:tcPr>
                  <w:tcW w:w="1282" w:type="dxa"/>
                  <w:shd w:val="clear" w:color="auto" w:fill="auto"/>
                  <w:noWrap/>
                  <w:vAlign w:val="center"/>
                </w:tcPr>
                <w:p>
                  <w:pPr>
                    <w:jc w:val="center"/>
                    <w:rPr>
                      <w:b/>
                      <w:bCs/>
                    </w:rPr>
                  </w:pPr>
                  <w:r>
                    <w:rPr>
                      <w:rFonts w:hint="eastAsia"/>
                      <w:b/>
                      <w:bCs/>
                    </w:rPr>
                    <w:t>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334" w:type="dxa"/>
                  <w:shd w:val="clear" w:color="auto" w:fill="auto"/>
                  <w:noWrap/>
                  <w:vAlign w:val="center"/>
                </w:tcPr>
                <w:p>
                  <w:pPr>
                    <w:widowControl/>
                    <w:jc w:val="center"/>
                  </w:pPr>
                  <w:r>
                    <w:rPr>
                      <w:rFonts w:hint="eastAsia"/>
                    </w:rPr>
                    <w:t>毁形总成</w:t>
                  </w:r>
                </w:p>
              </w:tc>
              <w:tc>
                <w:tcPr>
                  <w:tcW w:w="1537" w:type="dxa"/>
                  <w:shd w:val="clear" w:color="auto" w:fill="auto"/>
                  <w:noWrap/>
                  <w:vAlign w:val="center"/>
                </w:tcPr>
                <w:p>
                  <w:pPr>
                    <w:jc w:val="center"/>
                    <w:rPr>
                      <w:rFonts w:ascii="宋体" w:hAnsi="宋体" w:cs="宋体" w:eastAsiaTheme="minorEastAsia"/>
                      <w:color w:val="000000"/>
                      <w:kern w:val="0"/>
                      <w:sz w:val="21"/>
                      <w:szCs w:val="21"/>
                      <w:lang w:val="en-US" w:eastAsia="zh-CN" w:bidi="ar-SA"/>
                    </w:rPr>
                  </w:pPr>
                  <w:r>
                    <w:rPr>
                      <w:rFonts w:hint="eastAsia" w:ascii="宋体" w:hAnsi="宋体"/>
                      <w:szCs w:val="21"/>
                    </w:rPr>
                    <w:t>500</w:t>
                  </w:r>
                </w:p>
              </w:tc>
              <w:tc>
                <w:tcPr>
                  <w:tcW w:w="1281" w:type="dxa"/>
                  <w:shd w:val="clear" w:color="auto" w:fill="auto"/>
                  <w:noWrap/>
                  <w:vAlign w:val="center"/>
                </w:tcPr>
                <w:p>
                  <w:pPr>
                    <w:jc w:val="center"/>
                    <w:rPr>
                      <w:rFonts w:ascii="宋体" w:hAnsi="宋体" w:cs="宋体" w:eastAsiaTheme="minorEastAsia"/>
                      <w:color w:val="000000"/>
                      <w:kern w:val="0"/>
                      <w:sz w:val="21"/>
                      <w:szCs w:val="21"/>
                      <w:lang w:val="en-US" w:eastAsia="zh-CN" w:bidi="ar-SA"/>
                    </w:rPr>
                  </w:pPr>
                  <w:r>
                    <w:rPr>
                      <w:rFonts w:hint="eastAsia" w:ascii="宋体" w:hAnsi="宋体"/>
                      <w:szCs w:val="21"/>
                    </w:rPr>
                    <w:t>400</w:t>
                  </w:r>
                </w:p>
              </w:tc>
              <w:tc>
                <w:tcPr>
                  <w:tcW w:w="1281" w:type="dxa"/>
                  <w:shd w:val="clear" w:color="auto" w:fill="auto"/>
                  <w:noWrap/>
                  <w:vAlign w:val="center"/>
                </w:tcPr>
                <w:p>
                  <w:pPr>
                    <w:jc w:val="center"/>
                    <w:rPr>
                      <w:rFonts w:ascii="宋体" w:hAnsi="宋体" w:cs="宋体" w:eastAsiaTheme="minorEastAsia"/>
                      <w:color w:val="000000"/>
                      <w:kern w:val="0"/>
                      <w:sz w:val="21"/>
                      <w:szCs w:val="21"/>
                      <w:lang w:val="en-US" w:eastAsia="zh-CN" w:bidi="ar-SA"/>
                    </w:rPr>
                  </w:pPr>
                  <w:r>
                    <w:rPr>
                      <w:rFonts w:hint="eastAsia" w:ascii="宋体" w:hAnsi="宋体"/>
                      <w:szCs w:val="21"/>
                    </w:rPr>
                    <w:t>350</w:t>
                  </w:r>
                </w:p>
              </w:tc>
              <w:tc>
                <w:tcPr>
                  <w:tcW w:w="1284" w:type="dxa"/>
                  <w:shd w:val="clear" w:color="auto" w:fill="auto"/>
                  <w:noWrap/>
                  <w:vAlign w:val="center"/>
                </w:tcPr>
                <w:p>
                  <w:pPr>
                    <w:jc w:val="center"/>
                    <w:rPr>
                      <w:rFonts w:ascii="宋体" w:hAnsi="宋体" w:cs="宋体" w:eastAsiaTheme="minorEastAsia"/>
                      <w:color w:val="000000"/>
                      <w:kern w:val="0"/>
                      <w:sz w:val="21"/>
                      <w:szCs w:val="21"/>
                      <w:lang w:val="en-US" w:eastAsia="zh-CN" w:bidi="ar-SA"/>
                    </w:rPr>
                  </w:pPr>
                  <w:r>
                    <w:rPr>
                      <w:rFonts w:hint="eastAsia" w:ascii="宋体" w:hAnsi="宋体"/>
                      <w:szCs w:val="21"/>
                    </w:rPr>
                    <w:t>380</w:t>
                  </w:r>
                </w:p>
              </w:tc>
              <w:tc>
                <w:tcPr>
                  <w:tcW w:w="1282" w:type="dxa"/>
                  <w:shd w:val="clear" w:color="auto" w:fill="auto"/>
                  <w:noWrap/>
                  <w:vAlign w:val="center"/>
                </w:tcPr>
                <w:p>
                  <w:pPr>
                    <w:jc w:val="center"/>
                    <w:rPr>
                      <w:rFonts w:ascii="宋体" w:hAnsi="宋体" w:cs="宋体" w:eastAsiaTheme="minorEastAsia"/>
                      <w:color w:val="000000"/>
                      <w:kern w:val="0"/>
                      <w:sz w:val="21"/>
                      <w:szCs w:val="21"/>
                      <w:lang w:val="en-US" w:eastAsia="zh-CN" w:bidi="ar-SA"/>
                    </w:rPr>
                  </w:pPr>
                  <w:r>
                    <w:rPr>
                      <w:rFonts w:hint="eastAsia" w:ascii="宋体" w:hAnsi="宋体"/>
                      <w:szCs w:val="21"/>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334" w:type="dxa"/>
                  <w:shd w:val="clear" w:color="auto" w:fill="auto"/>
                  <w:noWrap/>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hint="eastAsia"/>
                    </w:rPr>
                    <w:t>废玻璃</w:t>
                  </w:r>
                </w:p>
              </w:tc>
              <w:tc>
                <w:tcPr>
                  <w:tcW w:w="1537" w:type="dxa"/>
                  <w:shd w:val="clear" w:color="auto" w:fill="auto"/>
                  <w:noWrap/>
                  <w:vAlign w:val="center"/>
                </w:tcPr>
                <w:p>
                  <w:pPr>
                    <w:jc w:val="center"/>
                    <w:rPr>
                      <w:rFonts w:hint="eastAsia" w:ascii="宋体" w:hAnsi="宋体" w:cs="宋体" w:eastAsiaTheme="minorEastAsia"/>
                      <w:color w:val="000000"/>
                      <w:kern w:val="0"/>
                      <w:sz w:val="21"/>
                      <w:szCs w:val="21"/>
                      <w:lang w:val="en-US" w:eastAsia="zh-CN" w:bidi="ar-SA"/>
                    </w:rPr>
                  </w:pPr>
                  <w:r>
                    <w:rPr>
                      <w:rFonts w:hint="eastAsia" w:ascii="宋体" w:hAnsi="宋体"/>
                      <w:szCs w:val="21"/>
                    </w:rPr>
                    <w:t>10</w:t>
                  </w:r>
                  <w:r>
                    <w:rPr>
                      <w:rFonts w:hint="eastAsia" w:ascii="宋体" w:hAnsi="宋体"/>
                      <w:szCs w:val="21"/>
                      <w:lang w:val="en-US" w:eastAsia="zh-CN"/>
                    </w:rPr>
                    <w:t>.5</w:t>
                  </w:r>
                </w:p>
              </w:tc>
              <w:tc>
                <w:tcPr>
                  <w:tcW w:w="1281" w:type="dxa"/>
                  <w:shd w:val="clear" w:color="auto" w:fill="auto"/>
                  <w:noWrap/>
                  <w:vAlign w:val="center"/>
                </w:tcPr>
                <w:p>
                  <w:pPr>
                    <w:jc w:val="center"/>
                    <w:rPr>
                      <w:rFonts w:hint="eastAsia" w:ascii="宋体" w:hAnsi="宋体" w:cs="宋体" w:eastAsiaTheme="minorEastAsia"/>
                      <w:color w:val="000000"/>
                      <w:kern w:val="0"/>
                      <w:sz w:val="21"/>
                      <w:szCs w:val="21"/>
                      <w:lang w:val="en-US" w:eastAsia="zh-CN" w:bidi="ar-SA"/>
                    </w:rPr>
                  </w:pPr>
                  <w:r>
                    <w:rPr>
                      <w:rFonts w:hint="eastAsia" w:ascii="宋体" w:hAnsi="宋体"/>
                      <w:szCs w:val="21"/>
                    </w:rPr>
                    <w:t>8</w:t>
                  </w:r>
                  <w:r>
                    <w:rPr>
                      <w:rFonts w:hint="eastAsia" w:ascii="宋体" w:hAnsi="宋体"/>
                      <w:szCs w:val="21"/>
                      <w:lang w:val="en-US" w:eastAsia="zh-CN"/>
                    </w:rPr>
                    <w:t>.9</w:t>
                  </w:r>
                </w:p>
              </w:tc>
              <w:tc>
                <w:tcPr>
                  <w:tcW w:w="1281" w:type="dxa"/>
                  <w:shd w:val="clear" w:color="auto" w:fill="auto"/>
                  <w:noWrap/>
                  <w:vAlign w:val="center"/>
                </w:tcPr>
                <w:p>
                  <w:pPr>
                    <w:jc w:val="center"/>
                    <w:rPr>
                      <w:rFonts w:hint="eastAsia" w:ascii="宋体" w:hAnsi="宋体" w:cs="宋体" w:eastAsiaTheme="minorEastAsia"/>
                      <w:color w:val="000000"/>
                      <w:kern w:val="0"/>
                      <w:sz w:val="21"/>
                      <w:szCs w:val="21"/>
                      <w:lang w:val="en-US" w:eastAsia="zh-CN" w:bidi="ar-SA"/>
                    </w:rPr>
                  </w:pPr>
                  <w:r>
                    <w:rPr>
                      <w:rFonts w:hint="eastAsia" w:ascii="宋体" w:hAnsi="宋体"/>
                      <w:szCs w:val="21"/>
                    </w:rPr>
                    <w:t>7</w:t>
                  </w:r>
                  <w:r>
                    <w:rPr>
                      <w:rFonts w:hint="eastAsia" w:ascii="宋体" w:hAnsi="宋体"/>
                      <w:szCs w:val="21"/>
                      <w:lang w:val="en-US" w:eastAsia="zh-CN"/>
                    </w:rPr>
                    <w:t>.6</w:t>
                  </w:r>
                </w:p>
              </w:tc>
              <w:tc>
                <w:tcPr>
                  <w:tcW w:w="1284" w:type="dxa"/>
                  <w:shd w:val="clear" w:color="auto" w:fill="auto"/>
                  <w:noWrap/>
                  <w:vAlign w:val="center"/>
                </w:tcPr>
                <w:p>
                  <w:pPr>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7.8</w:t>
                  </w:r>
                </w:p>
              </w:tc>
              <w:tc>
                <w:tcPr>
                  <w:tcW w:w="1282" w:type="dxa"/>
                  <w:shd w:val="clear" w:color="auto" w:fill="auto"/>
                  <w:noWrap/>
                  <w:vAlign w:val="center"/>
                </w:tcPr>
                <w:p>
                  <w:pPr>
                    <w:jc w:val="center"/>
                    <w:rPr>
                      <w:rFonts w:hint="eastAsia" w:ascii="宋体" w:hAnsi="宋体" w:cs="宋体" w:eastAsiaTheme="minorEastAsia"/>
                      <w:color w:val="000000"/>
                      <w:kern w:val="0"/>
                      <w:sz w:val="21"/>
                      <w:szCs w:val="21"/>
                      <w:lang w:val="en-US" w:eastAsia="zh-CN" w:bidi="ar-SA"/>
                    </w:rPr>
                  </w:pPr>
                  <w:r>
                    <w:rPr>
                      <w:rFonts w:hint="eastAsia" w:ascii="宋体" w:hAnsi="宋体"/>
                      <w:szCs w:val="21"/>
                      <w:lang w:val="en-US" w:eastAsia="zh-CN"/>
                    </w:rPr>
                    <w:t>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334" w:type="dxa"/>
                  <w:shd w:val="clear" w:color="auto" w:fill="auto"/>
                  <w:noWrap/>
                  <w:vAlign w:val="center"/>
                </w:tcPr>
                <w:p>
                  <w:pPr>
                    <w:widowControl/>
                    <w:jc w:val="center"/>
                  </w:pPr>
                  <w:r>
                    <w:rPr>
                      <w:rFonts w:hint="eastAsia"/>
                    </w:rPr>
                    <w:t>废橡胶</w:t>
                  </w:r>
                </w:p>
              </w:tc>
              <w:tc>
                <w:tcPr>
                  <w:tcW w:w="1537" w:type="dxa"/>
                  <w:shd w:val="clear" w:color="auto" w:fill="auto"/>
                  <w:noWrap/>
                  <w:vAlign w:val="center"/>
                </w:tcPr>
                <w:p>
                  <w:pPr>
                    <w:jc w:val="center"/>
                    <w:rPr>
                      <w:rFonts w:hint="default" w:ascii="宋体" w:hAnsi="宋体" w:cs="宋体" w:eastAsiaTheme="minorEastAsia"/>
                      <w:color w:val="000000"/>
                      <w:kern w:val="0"/>
                      <w:sz w:val="21"/>
                      <w:szCs w:val="21"/>
                      <w:lang w:val="en-US" w:eastAsia="zh-CN" w:bidi="ar-SA"/>
                    </w:rPr>
                  </w:pPr>
                  <w:r>
                    <w:rPr>
                      <w:rFonts w:hint="eastAsia" w:ascii="宋体" w:hAnsi="宋体"/>
                      <w:szCs w:val="21"/>
                    </w:rPr>
                    <w:t>75</w:t>
                  </w:r>
                  <w:r>
                    <w:rPr>
                      <w:rFonts w:hint="eastAsia" w:ascii="宋体" w:hAnsi="宋体"/>
                      <w:szCs w:val="21"/>
                      <w:lang w:val="en-US" w:eastAsia="zh-CN"/>
                    </w:rPr>
                    <w:t>.6</w:t>
                  </w:r>
                </w:p>
              </w:tc>
              <w:tc>
                <w:tcPr>
                  <w:tcW w:w="1281" w:type="dxa"/>
                  <w:shd w:val="clear" w:color="auto" w:fill="auto"/>
                  <w:noWrap/>
                  <w:vAlign w:val="center"/>
                </w:tcPr>
                <w:p>
                  <w:pPr>
                    <w:jc w:val="center"/>
                    <w:rPr>
                      <w:rFonts w:hint="default" w:ascii="宋体" w:hAnsi="宋体" w:cs="宋体" w:eastAsiaTheme="minorEastAsia"/>
                      <w:color w:val="000000"/>
                      <w:kern w:val="0"/>
                      <w:sz w:val="21"/>
                      <w:szCs w:val="21"/>
                      <w:lang w:val="en-US" w:eastAsia="zh-CN" w:bidi="ar-SA"/>
                    </w:rPr>
                  </w:pPr>
                  <w:r>
                    <w:rPr>
                      <w:rFonts w:hint="eastAsia" w:ascii="宋体" w:hAnsi="宋体"/>
                      <w:szCs w:val="21"/>
                    </w:rPr>
                    <w:t>70</w:t>
                  </w:r>
                  <w:r>
                    <w:rPr>
                      <w:rFonts w:hint="eastAsia" w:ascii="宋体" w:hAnsi="宋体"/>
                      <w:szCs w:val="21"/>
                      <w:lang w:val="en-US" w:eastAsia="zh-CN"/>
                    </w:rPr>
                    <w:t>.8</w:t>
                  </w:r>
                </w:p>
              </w:tc>
              <w:tc>
                <w:tcPr>
                  <w:tcW w:w="1281" w:type="dxa"/>
                  <w:shd w:val="clear" w:color="auto" w:fill="auto"/>
                  <w:noWrap/>
                  <w:vAlign w:val="center"/>
                </w:tcPr>
                <w:p>
                  <w:pPr>
                    <w:jc w:val="center"/>
                    <w:rPr>
                      <w:rFonts w:hint="default" w:ascii="宋体" w:hAnsi="宋体" w:cs="宋体" w:eastAsiaTheme="minorEastAsia"/>
                      <w:color w:val="000000"/>
                      <w:kern w:val="0"/>
                      <w:sz w:val="21"/>
                      <w:szCs w:val="21"/>
                      <w:lang w:val="en-US" w:eastAsia="zh-CN" w:bidi="ar-SA"/>
                    </w:rPr>
                  </w:pPr>
                  <w:r>
                    <w:rPr>
                      <w:rFonts w:hint="eastAsia" w:ascii="宋体" w:hAnsi="宋体"/>
                      <w:szCs w:val="21"/>
                    </w:rPr>
                    <w:t>68</w:t>
                  </w:r>
                  <w:r>
                    <w:rPr>
                      <w:rFonts w:hint="eastAsia" w:ascii="宋体" w:hAnsi="宋体"/>
                      <w:szCs w:val="21"/>
                      <w:lang w:val="en-US" w:eastAsia="zh-CN"/>
                    </w:rPr>
                    <w:t>.9</w:t>
                  </w:r>
                </w:p>
              </w:tc>
              <w:tc>
                <w:tcPr>
                  <w:tcW w:w="1284" w:type="dxa"/>
                  <w:shd w:val="clear" w:color="auto" w:fill="auto"/>
                  <w:noWrap/>
                  <w:vAlign w:val="center"/>
                </w:tcPr>
                <w:p>
                  <w:pPr>
                    <w:jc w:val="center"/>
                    <w:rPr>
                      <w:rFonts w:hint="default" w:ascii="宋体" w:hAnsi="宋体" w:cs="宋体" w:eastAsiaTheme="minorEastAsia"/>
                      <w:color w:val="000000"/>
                      <w:kern w:val="0"/>
                      <w:sz w:val="21"/>
                      <w:szCs w:val="21"/>
                      <w:lang w:val="en-US" w:eastAsia="zh-CN" w:bidi="ar-SA"/>
                    </w:rPr>
                  </w:pPr>
                  <w:r>
                    <w:rPr>
                      <w:rFonts w:hint="eastAsia" w:ascii="宋体" w:hAnsi="宋体"/>
                      <w:szCs w:val="21"/>
                      <w:lang w:val="en-US" w:eastAsia="zh-CN"/>
                    </w:rPr>
                    <w:t>65.6</w:t>
                  </w:r>
                </w:p>
              </w:tc>
              <w:tc>
                <w:tcPr>
                  <w:tcW w:w="1282" w:type="dxa"/>
                  <w:shd w:val="clear" w:color="auto" w:fill="auto"/>
                  <w:noWrap/>
                  <w:vAlign w:val="center"/>
                </w:tcPr>
                <w:p>
                  <w:pPr>
                    <w:jc w:val="center"/>
                    <w:rPr>
                      <w:rFonts w:hint="default" w:ascii="宋体" w:hAnsi="宋体" w:cs="宋体" w:eastAsiaTheme="minorEastAsia"/>
                      <w:color w:val="000000"/>
                      <w:kern w:val="0"/>
                      <w:sz w:val="21"/>
                      <w:szCs w:val="21"/>
                      <w:lang w:val="en-US" w:eastAsia="zh-CN" w:bidi="ar-SA"/>
                    </w:rPr>
                  </w:pPr>
                  <w:r>
                    <w:rPr>
                      <w:rFonts w:hint="eastAsia" w:ascii="宋体" w:hAnsi="宋体"/>
                      <w:szCs w:val="21"/>
                      <w:lang w:val="en-US" w:eastAsia="zh-CN"/>
                    </w:rPr>
                    <w:t>63.8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2" w:hRule="atLeast"/>
              </w:trPr>
              <w:tc>
                <w:tcPr>
                  <w:tcW w:w="1334" w:type="dxa"/>
                  <w:shd w:val="clear" w:color="auto" w:fill="auto"/>
                  <w:noWrap/>
                  <w:vAlign w:val="center"/>
                </w:tcPr>
                <w:p>
                  <w:pPr>
                    <w:widowControl/>
                    <w:jc w:val="center"/>
                  </w:pPr>
                  <w:r>
                    <w:rPr>
                      <w:rFonts w:hint="eastAsia"/>
                    </w:rPr>
                    <w:t>钢铁</w:t>
                  </w:r>
                </w:p>
              </w:tc>
              <w:tc>
                <w:tcPr>
                  <w:tcW w:w="1537" w:type="dxa"/>
                  <w:shd w:val="clear" w:color="auto" w:fill="auto"/>
                  <w:noWrap/>
                  <w:tcMar>
                    <w:top w:w="0" w:type="dxa"/>
                    <w:left w:w="0" w:type="dxa"/>
                    <w:bottom w:w="0" w:type="dxa"/>
                    <w:right w:w="0" w:type="dxa"/>
                  </w:tcMar>
                  <w:vAlign w:val="center"/>
                </w:tcPr>
                <w:p>
                  <w:pPr>
                    <w:jc w:val="center"/>
                    <w:rPr>
                      <w:rFonts w:ascii="宋体" w:hAnsi="宋体" w:cs="宋体" w:eastAsiaTheme="minorEastAsia"/>
                      <w:kern w:val="2"/>
                      <w:sz w:val="21"/>
                      <w:szCs w:val="21"/>
                      <w:lang w:val="en-US" w:eastAsia="zh-CN" w:bidi="ar-SA"/>
                    </w:rPr>
                  </w:pPr>
                  <w:r>
                    <w:rPr>
                      <w:rFonts w:hint="eastAsia" w:ascii="宋体" w:hAnsi="宋体"/>
                      <w:szCs w:val="21"/>
                    </w:rPr>
                    <w:t>1244.2</w:t>
                  </w:r>
                </w:p>
              </w:tc>
              <w:tc>
                <w:tcPr>
                  <w:tcW w:w="1281" w:type="dxa"/>
                  <w:shd w:val="clear" w:color="auto" w:fill="auto"/>
                  <w:noWrap/>
                  <w:tcMar>
                    <w:top w:w="0" w:type="dxa"/>
                    <w:left w:w="0" w:type="dxa"/>
                    <w:bottom w:w="0" w:type="dxa"/>
                    <w:right w:w="0" w:type="dxa"/>
                  </w:tcMar>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Cs w:val="21"/>
                    </w:rPr>
                    <w:t>1102.4</w:t>
                  </w:r>
                </w:p>
              </w:tc>
              <w:tc>
                <w:tcPr>
                  <w:tcW w:w="1281" w:type="dxa"/>
                  <w:shd w:val="clear" w:color="auto" w:fill="auto"/>
                  <w:noWrap/>
                  <w:tcMar>
                    <w:top w:w="0" w:type="dxa"/>
                    <w:left w:w="0" w:type="dxa"/>
                    <w:bottom w:w="0" w:type="dxa"/>
                    <w:right w:w="0" w:type="dxa"/>
                  </w:tcMar>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Cs w:val="21"/>
                    </w:rPr>
                    <w:t>1080.3</w:t>
                  </w:r>
                </w:p>
              </w:tc>
              <w:tc>
                <w:tcPr>
                  <w:tcW w:w="1284" w:type="dxa"/>
                  <w:shd w:val="clear" w:color="auto" w:fill="auto"/>
                  <w:noWrap/>
                  <w:tcMar>
                    <w:top w:w="0" w:type="dxa"/>
                    <w:left w:w="0" w:type="dxa"/>
                    <w:bottom w:w="0" w:type="dxa"/>
                    <w:right w:w="0" w:type="dxa"/>
                  </w:tcMar>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Cs w:val="21"/>
                    </w:rPr>
                    <w:t>1050.6</w:t>
                  </w:r>
                </w:p>
              </w:tc>
              <w:tc>
                <w:tcPr>
                  <w:tcW w:w="1282" w:type="dxa"/>
                  <w:shd w:val="clear" w:color="auto" w:fill="auto"/>
                  <w:noWrap/>
                  <w:tcMar>
                    <w:top w:w="0" w:type="dxa"/>
                    <w:left w:w="0" w:type="dxa"/>
                    <w:bottom w:w="0" w:type="dxa"/>
                    <w:right w:w="0" w:type="dxa"/>
                  </w:tcMar>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Cs w:val="21"/>
                    </w:rPr>
                    <w:t>1032.5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4" w:type="dxa"/>
                  <w:shd w:val="clear" w:color="auto" w:fill="auto"/>
                  <w:noWrap/>
                  <w:vAlign w:val="center"/>
                </w:tcPr>
                <w:p>
                  <w:pPr>
                    <w:widowControl/>
                    <w:jc w:val="center"/>
                  </w:pPr>
                  <w:r>
                    <w:rPr>
                      <w:rFonts w:hint="eastAsia"/>
                    </w:rPr>
                    <w:t>零部件</w:t>
                  </w:r>
                </w:p>
              </w:tc>
              <w:tc>
                <w:tcPr>
                  <w:tcW w:w="1537" w:type="dxa"/>
                  <w:shd w:val="clear" w:color="auto" w:fill="auto"/>
                  <w:noWrap/>
                  <w:vAlign w:val="center"/>
                </w:tcPr>
                <w:p>
                  <w:pPr>
                    <w:widowControl/>
                    <w:jc w:val="center"/>
                    <w:rPr>
                      <w:rFonts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3</w:t>
                  </w:r>
                  <w:r>
                    <w:rPr>
                      <w:rFonts w:hint="eastAsia" w:ascii="宋体" w:hAnsi="宋体" w:cs="宋体"/>
                      <w:color w:val="000000"/>
                      <w:kern w:val="0"/>
                      <w:szCs w:val="21"/>
                      <w:lang w:val="en-US" w:eastAsia="zh-CN"/>
                    </w:rPr>
                    <w:t>2.5</w:t>
                  </w:r>
                </w:p>
              </w:tc>
              <w:tc>
                <w:tcPr>
                  <w:tcW w:w="1281" w:type="dxa"/>
                  <w:shd w:val="clear" w:color="auto" w:fill="auto"/>
                  <w:noWrap/>
                  <w:vAlign w:val="center"/>
                </w:tcPr>
                <w:p>
                  <w:pPr>
                    <w:widowControl/>
                    <w:jc w:val="center"/>
                    <w:rPr>
                      <w:rFonts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30.3</w:t>
                  </w:r>
                </w:p>
              </w:tc>
              <w:tc>
                <w:tcPr>
                  <w:tcW w:w="1281"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29.8</w:t>
                  </w:r>
                </w:p>
              </w:tc>
              <w:tc>
                <w:tcPr>
                  <w:tcW w:w="1284"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27.6</w:t>
                  </w:r>
                </w:p>
              </w:tc>
              <w:tc>
                <w:tcPr>
                  <w:tcW w:w="1282"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4" w:type="dxa"/>
                  <w:shd w:val="clear" w:color="auto" w:fill="auto"/>
                  <w:noWrap/>
                  <w:vAlign w:val="center"/>
                </w:tcPr>
                <w:p>
                  <w:pPr>
                    <w:widowControl/>
                    <w:jc w:val="center"/>
                  </w:pPr>
                  <w:r>
                    <w:rPr>
                      <w:rFonts w:hint="eastAsia"/>
                    </w:rPr>
                    <w:t>有色金属</w:t>
                  </w:r>
                </w:p>
              </w:tc>
              <w:tc>
                <w:tcPr>
                  <w:tcW w:w="1537"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w:t>
                  </w:r>
                  <w:r>
                    <w:rPr>
                      <w:rFonts w:hint="eastAsia" w:ascii="宋体" w:hAnsi="宋体" w:cs="宋体"/>
                      <w:color w:val="000000"/>
                      <w:kern w:val="0"/>
                      <w:szCs w:val="21"/>
                      <w:lang w:val="en-US" w:eastAsia="zh-CN"/>
                    </w:rPr>
                    <w:t>.5</w:t>
                  </w:r>
                </w:p>
              </w:tc>
              <w:tc>
                <w:tcPr>
                  <w:tcW w:w="1281"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20.3</w:t>
                  </w:r>
                </w:p>
              </w:tc>
              <w:tc>
                <w:tcPr>
                  <w:tcW w:w="1281"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20.2</w:t>
                  </w:r>
                </w:p>
              </w:tc>
              <w:tc>
                <w:tcPr>
                  <w:tcW w:w="1284"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20.6</w:t>
                  </w:r>
                </w:p>
              </w:tc>
              <w:tc>
                <w:tcPr>
                  <w:tcW w:w="1282" w:type="dxa"/>
                  <w:shd w:val="clear" w:color="auto" w:fill="auto"/>
                  <w:noWrap/>
                  <w:vAlign w:val="center"/>
                </w:tcPr>
                <w:p>
                  <w:pPr>
                    <w:widowControl/>
                    <w:jc w:val="center"/>
                    <w:rPr>
                      <w:rFonts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334" w:type="dxa"/>
                  <w:shd w:val="clear" w:color="auto" w:fill="auto"/>
                  <w:noWrap/>
                  <w:vAlign w:val="center"/>
                </w:tcPr>
                <w:p>
                  <w:pPr>
                    <w:widowControl/>
                    <w:jc w:val="center"/>
                  </w:pPr>
                  <w:r>
                    <w:rPr>
                      <w:rFonts w:hint="eastAsia"/>
                    </w:rPr>
                    <w:t>废塑料</w:t>
                  </w:r>
                </w:p>
              </w:tc>
              <w:tc>
                <w:tcPr>
                  <w:tcW w:w="1537" w:type="dxa"/>
                  <w:shd w:val="clear" w:color="auto" w:fill="auto"/>
                  <w:noWrap/>
                  <w:vAlign w:val="center"/>
                </w:tcPr>
                <w:p>
                  <w:pPr>
                    <w:widowControl/>
                    <w:jc w:val="center"/>
                    <w:rPr>
                      <w:rFonts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10.6</w:t>
                  </w:r>
                </w:p>
              </w:tc>
              <w:tc>
                <w:tcPr>
                  <w:tcW w:w="1281" w:type="dxa"/>
                  <w:shd w:val="clear" w:color="auto" w:fill="auto"/>
                  <w:noWrap/>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0.5</w:t>
                  </w:r>
                </w:p>
              </w:tc>
              <w:tc>
                <w:tcPr>
                  <w:tcW w:w="1281" w:type="dxa"/>
                  <w:shd w:val="clear" w:color="auto" w:fill="auto"/>
                  <w:noWrap/>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0.3</w:t>
                  </w:r>
                </w:p>
              </w:tc>
              <w:tc>
                <w:tcPr>
                  <w:tcW w:w="1284" w:type="dxa"/>
                  <w:shd w:val="clear" w:color="auto" w:fill="auto"/>
                  <w:noWrap/>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0.6</w:t>
                  </w:r>
                </w:p>
              </w:tc>
              <w:tc>
                <w:tcPr>
                  <w:tcW w:w="1282"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10.3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334" w:type="dxa"/>
                  <w:shd w:val="clear" w:color="auto" w:fill="auto"/>
                  <w:noWrap/>
                  <w:vAlign w:val="center"/>
                </w:tcPr>
                <w:p>
                  <w:pPr>
                    <w:widowControl/>
                    <w:jc w:val="center"/>
                  </w:pPr>
                  <w:r>
                    <w:rPr>
                      <w:rFonts w:hint="eastAsia"/>
                    </w:rPr>
                    <w:t>纤维、皮革</w:t>
                  </w:r>
                </w:p>
              </w:tc>
              <w:tc>
                <w:tcPr>
                  <w:tcW w:w="1537"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2.5</w:t>
                  </w:r>
                </w:p>
              </w:tc>
              <w:tc>
                <w:tcPr>
                  <w:tcW w:w="1281"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2.7</w:t>
                  </w:r>
                </w:p>
              </w:tc>
              <w:tc>
                <w:tcPr>
                  <w:tcW w:w="1281"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1.3</w:t>
                  </w:r>
                </w:p>
              </w:tc>
              <w:tc>
                <w:tcPr>
                  <w:tcW w:w="1284" w:type="dxa"/>
                  <w:shd w:val="clear" w:color="auto" w:fill="auto"/>
                  <w:noWrap/>
                  <w:vAlign w:val="center"/>
                </w:tcPr>
                <w:p>
                  <w:pPr>
                    <w:widowControl/>
                    <w:jc w:val="center"/>
                    <w:rPr>
                      <w:rFonts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1.5</w:t>
                  </w:r>
                </w:p>
              </w:tc>
              <w:tc>
                <w:tcPr>
                  <w:tcW w:w="1282" w:type="dxa"/>
                  <w:shd w:val="clear" w:color="auto" w:fill="auto"/>
                  <w:noWrap/>
                  <w:vAlign w:val="center"/>
                </w:tcPr>
                <w:p>
                  <w:pPr>
                    <w:widowControl/>
                    <w:jc w:val="center"/>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1282" w:type="dxa"/>
                <w:trHeight w:val="270" w:hRule="atLeast"/>
              </w:trPr>
              <w:tc>
                <w:tcPr>
                  <w:tcW w:w="6717" w:type="dxa"/>
                  <w:gridSpan w:val="5"/>
                  <w:shd w:val="clear" w:color="auto" w:fill="auto"/>
                  <w:noWrap/>
                  <w:vAlign w:val="center"/>
                </w:tcPr>
                <w:p>
                  <w:pPr>
                    <w:widowControl/>
                    <w:spacing w:line="360" w:lineRule="auto"/>
                    <w:jc w:val="left"/>
                  </w:pPr>
                  <w:r>
                    <w:rPr>
                      <w:rFonts w:hint="eastAsia"/>
                    </w:rPr>
                    <w:t>注：产生量单位为t/a。</w:t>
                  </w:r>
                </w:p>
              </w:tc>
            </w:tr>
          </w:tbl>
          <w:p>
            <w:pPr>
              <w:spacing w:line="360" w:lineRule="auto"/>
              <w:ind w:firstLine="480" w:firstLineChars="200"/>
              <w:rPr>
                <w:sz w:val="24"/>
                <w:szCs w:val="24"/>
              </w:rPr>
            </w:pPr>
            <w:r>
              <w:rPr>
                <w:rFonts w:hint="eastAsia"/>
                <w:sz w:val="24"/>
                <w:szCs w:val="24"/>
              </w:rPr>
              <w:t>以上拆解物外售下游回收处理单位处理。</w:t>
            </w:r>
          </w:p>
          <w:p>
            <w:pPr>
              <w:spacing w:line="360" w:lineRule="auto"/>
              <w:ind w:firstLine="482" w:firstLineChars="200"/>
              <w:rPr>
                <w:b/>
                <w:bCs/>
                <w:sz w:val="24"/>
                <w:szCs w:val="24"/>
              </w:rPr>
            </w:pPr>
            <w:r>
              <w:rPr>
                <w:rFonts w:hint="eastAsia"/>
                <w:b/>
                <w:bCs/>
                <w:sz w:val="24"/>
                <w:szCs w:val="24"/>
              </w:rPr>
              <w:t>②一般固体废物</w:t>
            </w:r>
          </w:p>
          <w:p>
            <w:pPr>
              <w:spacing w:line="360" w:lineRule="auto"/>
              <w:ind w:firstLine="480" w:firstLineChars="200"/>
              <w:rPr>
                <w:rFonts w:hint="eastAsia"/>
                <w:sz w:val="24"/>
                <w:szCs w:val="24"/>
              </w:rPr>
            </w:pPr>
            <w:r>
              <w:rPr>
                <w:rFonts w:hint="eastAsia"/>
                <w:sz w:val="24"/>
                <w:szCs w:val="24"/>
              </w:rPr>
              <w:t>生活垃圾产生量每天每人约0.5kg，生活垃圾产生量为10kg/d，共计3.5t/a；集中收集后暂存于垃圾桶或仓库，交环卫部门处理。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含油手套、抹布产生量约为2kg/d，共计0.</w:t>
            </w:r>
            <w:r>
              <w:rPr>
                <w:rFonts w:hint="eastAsia" w:ascii="宋体" w:hAnsi="宋体" w:eastAsia="宋体" w:cs="宋体"/>
                <w:sz w:val="24"/>
                <w:szCs w:val="24"/>
                <w:lang w:val="en-US" w:eastAsia="zh-CN"/>
              </w:rPr>
              <w:t>7</w:t>
            </w:r>
            <w:r>
              <w:rPr>
                <w:rFonts w:hint="eastAsia" w:ascii="宋体" w:hAnsi="宋体" w:eastAsia="宋体" w:cs="宋体"/>
                <w:sz w:val="24"/>
                <w:szCs w:val="24"/>
              </w:rPr>
              <w:t>t/a。本项目针对含油手套和抹布单独分类收集，属于危险废物豁免管理清单内，暂存仓库定期委托环卫部门处理。</w:t>
            </w:r>
          </w:p>
          <w:p>
            <w:pPr>
              <w:spacing w:line="360" w:lineRule="auto"/>
              <w:ind w:firstLine="482" w:firstLineChars="200"/>
              <w:rPr>
                <w:b/>
                <w:bCs/>
                <w:sz w:val="24"/>
                <w:szCs w:val="24"/>
              </w:rPr>
            </w:pPr>
            <w:r>
              <w:rPr>
                <w:rFonts w:hint="eastAsia"/>
                <w:b/>
                <w:bCs/>
                <w:sz w:val="24"/>
                <w:szCs w:val="24"/>
              </w:rPr>
              <w:t>③危险废物</w:t>
            </w:r>
          </w:p>
          <w:p>
            <w:pPr>
              <w:spacing w:line="360" w:lineRule="auto"/>
              <w:ind w:firstLine="480" w:firstLineChars="200"/>
              <w:rPr>
                <w:rFonts w:hint="eastAsia"/>
                <w:sz w:val="24"/>
                <w:szCs w:val="24"/>
              </w:rPr>
            </w:pPr>
            <w:r>
              <w:rPr>
                <w:rFonts w:hint="eastAsia"/>
                <w:sz w:val="24"/>
                <w:szCs w:val="24"/>
              </w:rPr>
              <w:t>本项目危险废物属性的拆解物产生情况如下：</w:t>
            </w:r>
          </w:p>
          <w:p>
            <w:pPr>
              <w:spacing w:line="360" w:lineRule="auto"/>
              <w:ind w:firstLine="482" w:firstLineChars="200"/>
              <w:jc w:val="center"/>
              <w:rPr>
                <w:b/>
                <w:bCs/>
                <w:sz w:val="24"/>
                <w:szCs w:val="24"/>
              </w:rPr>
            </w:pPr>
            <w:r>
              <w:rPr>
                <w:rFonts w:hint="eastAsia"/>
                <w:b/>
                <w:bCs/>
                <w:sz w:val="24"/>
                <w:szCs w:val="24"/>
              </w:rPr>
              <w:t>表</w:t>
            </w:r>
            <w:r>
              <w:rPr>
                <w:rFonts w:hint="eastAsia"/>
                <w:b/>
                <w:bCs/>
                <w:sz w:val="24"/>
                <w:szCs w:val="24"/>
                <w:lang w:val="en-US" w:eastAsia="zh-CN"/>
              </w:rPr>
              <w:t>47</w:t>
            </w:r>
            <w:r>
              <w:rPr>
                <w:rFonts w:hint="eastAsia"/>
                <w:b/>
                <w:bCs/>
                <w:sz w:val="24"/>
                <w:szCs w:val="24"/>
              </w:rPr>
              <w:t xml:space="preserve">   危险废物属性拆解物产生情况</w:t>
            </w:r>
          </w:p>
          <w:tbl>
            <w:tblPr>
              <w:tblStyle w:val="25"/>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276"/>
              <w:gridCol w:w="1276"/>
              <w:gridCol w:w="1276"/>
              <w:gridCol w:w="1276"/>
              <w:gridCol w:w="12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93" w:type="dxa"/>
                  <w:vMerge w:val="restart"/>
                  <w:shd w:val="clear" w:color="auto" w:fill="auto"/>
                  <w:noWrap/>
                  <w:vAlign w:val="center"/>
                </w:tcPr>
                <w:p>
                  <w:pPr>
                    <w:jc w:val="center"/>
                    <w:rPr>
                      <w:b/>
                      <w:bCs/>
                    </w:rPr>
                  </w:pPr>
                  <w:r>
                    <w:rPr>
                      <w:rFonts w:hint="eastAsia"/>
                      <w:b/>
                      <w:bCs/>
                    </w:rPr>
                    <w:t>类别</w:t>
                  </w:r>
                </w:p>
              </w:tc>
              <w:tc>
                <w:tcPr>
                  <w:tcW w:w="1276" w:type="dxa"/>
                  <w:shd w:val="clear" w:color="auto" w:fill="auto"/>
                  <w:noWrap/>
                  <w:vAlign w:val="center"/>
                </w:tcPr>
                <w:p>
                  <w:pPr>
                    <w:jc w:val="center"/>
                    <w:rPr>
                      <w:b/>
                      <w:bCs/>
                    </w:rPr>
                  </w:pPr>
                  <w:r>
                    <w:rPr>
                      <w:rFonts w:hint="eastAsia"/>
                      <w:b/>
                      <w:bCs/>
                    </w:rPr>
                    <w:t>拖拉机</w:t>
                  </w:r>
                </w:p>
              </w:tc>
              <w:tc>
                <w:tcPr>
                  <w:tcW w:w="1276" w:type="dxa"/>
                  <w:shd w:val="clear" w:color="auto" w:fill="auto"/>
                  <w:noWrap/>
                  <w:vAlign w:val="center"/>
                </w:tcPr>
                <w:p>
                  <w:pPr>
                    <w:jc w:val="center"/>
                    <w:rPr>
                      <w:b/>
                      <w:bCs/>
                    </w:rPr>
                  </w:pPr>
                  <w:r>
                    <w:rPr>
                      <w:rFonts w:hint="eastAsia"/>
                      <w:b/>
                      <w:bCs/>
                    </w:rPr>
                    <w:t>玉米收割机</w:t>
                  </w:r>
                </w:p>
              </w:tc>
              <w:tc>
                <w:tcPr>
                  <w:tcW w:w="1276" w:type="dxa"/>
                  <w:shd w:val="clear" w:color="auto" w:fill="auto"/>
                  <w:noWrap/>
                  <w:vAlign w:val="center"/>
                </w:tcPr>
                <w:p>
                  <w:pPr>
                    <w:jc w:val="center"/>
                    <w:rPr>
                      <w:b/>
                      <w:bCs/>
                    </w:rPr>
                  </w:pPr>
                  <w:r>
                    <w:rPr>
                      <w:rFonts w:hint="eastAsia"/>
                      <w:b/>
                      <w:bCs/>
                    </w:rPr>
                    <w:t>水稻收割机</w:t>
                  </w:r>
                </w:p>
              </w:tc>
              <w:tc>
                <w:tcPr>
                  <w:tcW w:w="1276" w:type="dxa"/>
                  <w:shd w:val="clear" w:color="auto" w:fill="auto"/>
                  <w:noWrap/>
                  <w:vAlign w:val="center"/>
                </w:tcPr>
                <w:p>
                  <w:pPr>
                    <w:jc w:val="center"/>
                    <w:rPr>
                      <w:b/>
                      <w:bCs/>
                    </w:rPr>
                  </w:pPr>
                  <w:r>
                    <w:rPr>
                      <w:rFonts w:hint="eastAsia"/>
                      <w:b/>
                      <w:bCs/>
                    </w:rPr>
                    <w:t>玉米脱粒机</w:t>
                  </w:r>
                </w:p>
              </w:tc>
              <w:tc>
                <w:tcPr>
                  <w:tcW w:w="1277" w:type="dxa"/>
                  <w:shd w:val="clear" w:color="auto" w:fill="auto"/>
                  <w:noWrap/>
                  <w:vAlign w:val="center"/>
                </w:tcPr>
                <w:p>
                  <w:pPr>
                    <w:jc w:val="center"/>
                    <w:rPr>
                      <w:b/>
                      <w:bCs/>
                    </w:rPr>
                  </w:pPr>
                  <w:r>
                    <w:rPr>
                      <w:rFonts w:hint="eastAsia"/>
                      <w:b/>
                      <w:bCs/>
                    </w:rPr>
                    <w:t>插秧机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93" w:type="dxa"/>
                  <w:vMerge w:val="continue"/>
                  <w:shd w:val="clear" w:color="auto" w:fill="auto"/>
                  <w:noWrap/>
                  <w:vAlign w:val="center"/>
                </w:tcPr>
                <w:p>
                  <w:pPr>
                    <w:jc w:val="center"/>
                    <w:rPr>
                      <w:b/>
                      <w:bCs/>
                    </w:rPr>
                  </w:pPr>
                </w:p>
              </w:tc>
              <w:tc>
                <w:tcPr>
                  <w:tcW w:w="1276" w:type="dxa"/>
                  <w:shd w:val="clear" w:color="auto" w:fill="auto"/>
                  <w:noWrap/>
                  <w:vAlign w:val="center"/>
                </w:tcPr>
                <w:p>
                  <w:pPr>
                    <w:jc w:val="center"/>
                    <w:rPr>
                      <w:b/>
                      <w:bCs/>
                    </w:rPr>
                  </w:pPr>
                  <w:r>
                    <w:rPr>
                      <w:rFonts w:hint="eastAsia"/>
                      <w:b/>
                      <w:bCs/>
                    </w:rPr>
                    <w:t>产生量</w:t>
                  </w:r>
                </w:p>
              </w:tc>
              <w:tc>
                <w:tcPr>
                  <w:tcW w:w="1276" w:type="dxa"/>
                  <w:shd w:val="clear" w:color="auto" w:fill="auto"/>
                  <w:noWrap/>
                  <w:vAlign w:val="center"/>
                </w:tcPr>
                <w:p>
                  <w:pPr>
                    <w:jc w:val="center"/>
                    <w:rPr>
                      <w:b/>
                      <w:bCs/>
                    </w:rPr>
                  </w:pPr>
                  <w:r>
                    <w:rPr>
                      <w:rFonts w:hint="eastAsia"/>
                      <w:b/>
                      <w:bCs/>
                    </w:rPr>
                    <w:t>产生量</w:t>
                  </w:r>
                </w:p>
              </w:tc>
              <w:tc>
                <w:tcPr>
                  <w:tcW w:w="1276" w:type="dxa"/>
                  <w:shd w:val="clear" w:color="auto" w:fill="auto"/>
                  <w:noWrap/>
                  <w:vAlign w:val="center"/>
                </w:tcPr>
                <w:p>
                  <w:pPr>
                    <w:jc w:val="center"/>
                    <w:rPr>
                      <w:b/>
                      <w:bCs/>
                    </w:rPr>
                  </w:pPr>
                  <w:r>
                    <w:rPr>
                      <w:rFonts w:hint="eastAsia"/>
                      <w:b/>
                      <w:bCs/>
                      <w:lang w:eastAsia="zh-CN"/>
                    </w:rPr>
                    <w:t>产生</w:t>
                  </w:r>
                  <w:r>
                    <w:rPr>
                      <w:rFonts w:hint="eastAsia"/>
                      <w:b/>
                      <w:bCs/>
                    </w:rPr>
                    <w:t>量</w:t>
                  </w:r>
                </w:p>
              </w:tc>
              <w:tc>
                <w:tcPr>
                  <w:tcW w:w="1276" w:type="dxa"/>
                  <w:shd w:val="clear" w:color="auto" w:fill="auto"/>
                  <w:noWrap/>
                  <w:vAlign w:val="center"/>
                </w:tcPr>
                <w:p>
                  <w:pPr>
                    <w:jc w:val="center"/>
                    <w:rPr>
                      <w:rFonts w:asciiTheme="minorHAnsi" w:hAnsiTheme="minorHAnsi" w:eastAsiaTheme="minorEastAsia" w:cstheme="minorBidi"/>
                      <w:b/>
                      <w:bCs/>
                      <w:kern w:val="2"/>
                      <w:sz w:val="21"/>
                      <w:szCs w:val="24"/>
                      <w:lang w:val="en-US" w:eastAsia="zh-CN" w:bidi="ar-SA"/>
                    </w:rPr>
                  </w:pPr>
                  <w:r>
                    <w:rPr>
                      <w:rFonts w:hint="eastAsia"/>
                      <w:b/>
                      <w:bCs/>
                    </w:rPr>
                    <w:t>产生量</w:t>
                  </w:r>
                </w:p>
              </w:tc>
              <w:tc>
                <w:tcPr>
                  <w:tcW w:w="1277" w:type="dxa"/>
                  <w:shd w:val="clear" w:color="auto" w:fill="auto"/>
                  <w:noWrap/>
                  <w:vAlign w:val="center"/>
                </w:tcPr>
                <w:p>
                  <w:pPr>
                    <w:jc w:val="center"/>
                    <w:rPr>
                      <w:rFonts w:asciiTheme="minorHAnsi" w:hAnsiTheme="minorHAnsi" w:eastAsiaTheme="minorEastAsia" w:cstheme="minorBidi"/>
                      <w:b/>
                      <w:bCs/>
                      <w:kern w:val="2"/>
                      <w:sz w:val="21"/>
                      <w:szCs w:val="24"/>
                      <w:lang w:val="en-US" w:eastAsia="zh-CN" w:bidi="ar-SA"/>
                    </w:rPr>
                  </w:pPr>
                  <w:r>
                    <w:rPr>
                      <w:rFonts w:hint="eastAsia"/>
                      <w:b/>
                      <w:bCs/>
                      <w:lang w:eastAsia="zh-CN"/>
                    </w:rPr>
                    <w:t>产生</w:t>
                  </w:r>
                  <w:r>
                    <w:rPr>
                      <w:rFonts w:hint="eastAsia"/>
                      <w:b/>
                      <w:bCs/>
                    </w:rPr>
                    <w:t>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3" w:type="dxa"/>
                  <w:shd w:val="clear" w:color="auto" w:fill="auto"/>
                  <w:noWrap/>
                  <w:vAlign w:val="center"/>
                </w:tcPr>
                <w:p>
                  <w:pPr>
                    <w:jc w:val="center"/>
                  </w:pPr>
                  <w:r>
                    <w:rPr>
                      <w:rFonts w:hint="eastAsia"/>
                    </w:rPr>
                    <w:t>废机油</w:t>
                  </w:r>
                </w:p>
              </w:tc>
              <w:tc>
                <w:tcPr>
                  <w:tcW w:w="1276" w:type="dxa"/>
                  <w:shd w:val="clear" w:color="auto" w:fill="auto"/>
                  <w:noWrap/>
                  <w:vAlign w:val="center"/>
                </w:tcPr>
                <w:p>
                  <w:pPr>
                    <w:jc w:val="center"/>
                  </w:pPr>
                  <w:r>
                    <w:rPr>
                      <w:rFonts w:hint="eastAsia" w:ascii="宋体" w:hAnsi="宋体"/>
                      <w:szCs w:val="21"/>
                    </w:rPr>
                    <w:t>5</w:t>
                  </w:r>
                  <w:r>
                    <w:rPr>
                      <w:rFonts w:hint="eastAsia" w:ascii="宋体" w:hAnsi="宋体"/>
                      <w:szCs w:val="21"/>
                      <w:lang w:val="en-US" w:eastAsia="zh-CN"/>
                    </w:rPr>
                    <w:t>.0</w:t>
                  </w:r>
                </w:p>
              </w:tc>
              <w:tc>
                <w:tcPr>
                  <w:tcW w:w="1276" w:type="dxa"/>
                  <w:shd w:val="clear" w:color="auto" w:fill="auto"/>
                  <w:noWrap/>
                  <w:vAlign w:val="center"/>
                </w:tcPr>
                <w:p>
                  <w:pPr>
                    <w:jc w:val="center"/>
                  </w:pPr>
                  <w:r>
                    <w:rPr>
                      <w:rFonts w:hint="eastAsia" w:ascii="宋体" w:hAnsi="宋体"/>
                      <w:szCs w:val="21"/>
                    </w:rPr>
                    <w:t>5</w:t>
                  </w:r>
                  <w:r>
                    <w:rPr>
                      <w:rFonts w:hint="eastAsia" w:ascii="宋体" w:hAnsi="宋体"/>
                      <w:szCs w:val="21"/>
                      <w:lang w:val="en-US" w:eastAsia="zh-CN"/>
                    </w:rPr>
                    <w:t>.0</w:t>
                  </w:r>
                </w:p>
              </w:tc>
              <w:tc>
                <w:tcPr>
                  <w:tcW w:w="1276" w:type="dxa"/>
                  <w:shd w:val="clear" w:color="auto" w:fill="auto"/>
                  <w:noWrap/>
                  <w:vAlign w:val="center"/>
                </w:tcPr>
                <w:p>
                  <w:pPr>
                    <w:jc w:val="center"/>
                  </w:pPr>
                  <w:r>
                    <w:rPr>
                      <w:rFonts w:hint="eastAsia" w:ascii="宋体" w:hAnsi="宋体"/>
                      <w:szCs w:val="21"/>
                    </w:rPr>
                    <w:t>5</w:t>
                  </w:r>
                  <w:r>
                    <w:rPr>
                      <w:rFonts w:hint="eastAsia" w:ascii="宋体" w:hAnsi="宋体"/>
                      <w:szCs w:val="21"/>
                      <w:lang w:val="en-US" w:eastAsia="zh-CN"/>
                    </w:rPr>
                    <w:t>.0</w:t>
                  </w:r>
                </w:p>
              </w:tc>
              <w:tc>
                <w:tcPr>
                  <w:tcW w:w="1276" w:type="dxa"/>
                  <w:shd w:val="clear" w:color="auto" w:fill="auto"/>
                  <w:noWrap/>
                  <w:vAlign w:val="center"/>
                </w:tcPr>
                <w:p>
                  <w:pPr>
                    <w:jc w:val="center"/>
                  </w:pPr>
                  <w:r>
                    <w:rPr>
                      <w:rFonts w:hint="eastAsia" w:ascii="宋体" w:hAnsi="宋体"/>
                      <w:szCs w:val="21"/>
                    </w:rPr>
                    <w:t>5</w:t>
                  </w:r>
                  <w:r>
                    <w:rPr>
                      <w:rFonts w:hint="eastAsia" w:ascii="宋体" w:hAnsi="宋体"/>
                      <w:szCs w:val="21"/>
                      <w:lang w:val="en-US" w:eastAsia="zh-CN"/>
                    </w:rPr>
                    <w:t>.0</w:t>
                  </w:r>
                </w:p>
              </w:tc>
              <w:tc>
                <w:tcPr>
                  <w:tcW w:w="1277" w:type="dxa"/>
                  <w:shd w:val="clear" w:color="auto" w:fill="auto"/>
                  <w:noWrap/>
                  <w:vAlign w:val="center"/>
                </w:tcPr>
                <w:p>
                  <w:pPr>
                    <w:jc w:val="center"/>
                  </w:pPr>
                  <w:r>
                    <w:rPr>
                      <w:rFonts w:hint="eastAsia" w:ascii="宋体" w:hAnsi="宋体"/>
                      <w:szCs w:val="21"/>
                    </w:rPr>
                    <w:t>5</w:t>
                  </w:r>
                  <w:r>
                    <w:rPr>
                      <w:rFonts w:hint="eastAsia" w:ascii="宋体" w:hAnsi="宋体"/>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剩余燃油</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7"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废防冻剂</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lang w:val="en-US" w:eastAsia="zh-CN"/>
                    </w:rPr>
                    <w:t>1.1</w:t>
                  </w:r>
                </w:p>
              </w:tc>
              <w:tc>
                <w:tcPr>
                  <w:tcW w:w="1276" w:type="dxa"/>
                  <w:shd w:val="clear" w:color="auto" w:fill="auto"/>
                  <w:noWrap/>
                  <w:vAlign w:val="center"/>
                </w:tcPr>
                <w:p>
                  <w:pPr>
                    <w:jc w:val="center"/>
                  </w:pPr>
                  <w:r>
                    <w:rPr>
                      <w:rFonts w:hint="eastAsia" w:ascii="宋体" w:hAnsi="宋体" w:cs="宋体"/>
                      <w:kern w:val="2"/>
                      <w:sz w:val="21"/>
                      <w:szCs w:val="21"/>
                      <w:lang w:val="en-US" w:eastAsia="zh-CN" w:bidi="ar-SA"/>
                    </w:rPr>
                    <w:t>1.1</w:t>
                  </w:r>
                </w:p>
              </w:tc>
              <w:tc>
                <w:tcPr>
                  <w:tcW w:w="1276" w:type="dxa"/>
                  <w:shd w:val="clear" w:color="auto" w:fill="auto"/>
                  <w:noWrap/>
                  <w:vAlign w:val="center"/>
                </w:tcPr>
                <w:p>
                  <w:pPr>
                    <w:jc w:val="center"/>
                  </w:pPr>
                  <w:r>
                    <w:rPr>
                      <w:rFonts w:hint="eastAsia" w:ascii="宋体" w:hAnsi="宋体"/>
                      <w:szCs w:val="21"/>
                      <w:lang w:val="en-US" w:eastAsia="zh-CN"/>
                    </w:rPr>
                    <w:t>1.1</w:t>
                  </w:r>
                </w:p>
              </w:tc>
              <w:tc>
                <w:tcPr>
                  <w:tcW w:w="1277" w:type="dxa"/>
                  <w:shd w:val="clear" w:color="auto" w:fill="auto"/>
                  <w:noWrap/>
                  <w:vAlign w:val="center"/>
                </w:tcPr>
                <w:p>
                  <w:pPr>
                    <w:jc w:val="center"/>
                  </w:pPr>
                  <w:r>
                    <w:rPr>
                      <w:rFonts w:hint="eastAsia" w:ascii="宋体" w:hAnsi="宋体"/>
                      <w:szCs w:val="21"/>
                      <w:lang w:val="en-US" w:eastAsia="zh-CN"/>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制动液</w:t>
                  </w:r>
                </w:p>
              </w:tc>
              <w:tc>
                <w:tcPr>
                  <w:tcW w:w="1276" w:type="dxa"/>
                  <w:shd w:val="clear" w:color="auto" w:fill="auto"/>
                  <w:noWrap/>
                  <w:vAlign w:val="center"/>
                </w:tcPr>
                <w:p>
                  <w:pPr>
                    <w:jc w:val="center"/>
                  </w:pPr>
                  <w:r>
                    <w:rPr>
                      <w:rFonts w:hint="eastAsia" w:ascii="宋体" w:hAnsi="宋体" w:cs="宋体"/>
                      <w:szCs w:val="21"/>
                      <w:lang w:val="en-US" w:eastAsia="zh-CN"/>
                    </w:rPr>
                    <w:t>3.8</w:t>
                  </w:r>
                </w:p>
              </w:tc>
              <w:tc>
                <w:tcPr>
                  <w:tcW w:w="1276" w:type="dxa"/>
                  <w:shd w:val="clear" w:color="auto" w:fill="auto"/>
                  <w:noWrap/>
                  <w:vAlign w:val="center"/>
                </w:tcPr>
                <w:p>
                  <w:pPr>
                    <w:jc w:val="center"/>
                  </w:pPr>
                  <w:r>
                    <w:rPr>
                      <w:rFonts w:hint="eastAsia" w:ascii="宋体" w:hAnsi="宋体"/>
                      <w:szCs w:val="21"/>
                      <w:lang w:val="en-US" w:eastAsia="zh-CN"/>
                    </w:rPr>
                    <w:t>3.8</w:t>
                  </w:r>
                </w:p>
              </w:tc>
              <w:tc>
                <w:tcPr>
                  <w:tcW w:w="1276" w:type="dxa"/>
                  <w:shd w:val="clear" w:color="auto" w:fill="auto"/>
                  <w:noWrap/>
                  <w:vAlign w:val="center"/>
                </w:tcPr>
                <w:p>
                  <w:pPr>
                    <w:jc w:val="center"/>
                  </w:pPr>
                  <w:r>
                    <w:rPr>
                      <w:rFonts w:hint="eastAsia" w:ascii="宋体" w:hAnsi="宋体" w:cs="宋体"/>
                      <w:szCs w:val="21"/>
                      <w:lang w:val="en-US" w:eastAsia="zh-CN"/>
                    </w:rPr>
                    <w:t>3.8</w:t>
                  </w:r>
                </w:p>
              </w:tc>
              <w:tc>
                <w:tcPr>
                  <w:tcW w:w="1276" w:type="dxa"/>
                  <w:shd w:val="clear" w:color="auto" w:fill="auto"/>
                  <w:noWrap/>
                  <w:vAlign w:val="center"/>
                </w:tcPr>
                <w:p>
                  <w:pPr>
                    <w:jc w:val="center"/>
                  </w:pPr>
                  <w:r>
                    <w:rPr>
                      <w:rFonts w:hint="eastAsia" w:ascii="宋体" w:hAnsi="宋体"/>
                      <w:szCs w:val="21"/>
                      <w:lang w:val="en-US" w:eastAsia="zh-CN"/>
                    </w:rPr>
                    <w:t>3.8</w:t>
                  </w:r>
                </w:p>
              </w:tc>
              <w:tc>
                <w:tcPr>
                  <w:tcW w:w="1277" w:type="dxa"/>
                  <w:shd w:val="clear" w:color="auto" w:fill="auto"/>
                  <w:noWrap/>
                  <w:vAlign w:val="center"/>
                </w:tcPr>
                <w:p>
                  <w:pPr>
                    <w:jc w:val="center"/>
                  </w:pPr>
                  <w:r>
                    <w:rPr>
                      <w:rFonts w:hint="eastAsia" w:ascii="宋体" w:hAnsi="宋体"/>
                      <w:szCs w:val="21"/>
                      <w:lang w:val="en-US" w:eastAsia="zh-CN"/>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rPr>
                      <w:rFonts w:hint="eastAsia" w:eastAsiaTheme="minorEastAsia"/>
                      <w:lang w:eastAsia="zh-CN"/>
                    </w:rPr>
                  </w:pPr>
                  <w:r>
                    <w:rPr>
                      <w:rFonts w:hint="eastAsia"/>
                      <w:lang w:eastAsia="zh-CN"/>
                    </w:rPr>
                    <w:t>废铅蓄电池</w:t>
                  </w:r>
                </w:p>
              </w:tc>
              <w:tc>
                <w:tcPr>
                  <w:tcW w:w="1276" w:type="dxa"/>
                  <w:shd w:val="clear" w:color="auto" w:fill="auto"/>
                  <w:noWrap/>
                  <w:vAlign w:val="center"/>
                </w:tcPr>
                <w:p>
                  <w:pPr>
                    <w:jc w:val="center"/>
                    <w:rPr>
                      <w:rFonts w:hint="default" w:eastAsiaTheme="minorEastAsia"/>
                      <w:lang w:val="en-US" w:eastAsia="zh-CN"/>
                    </w:rPr>
                  </w:pPr>
                  <w:r>
                    <w:rPr>
                      <w:rFonts w:hint="eastAsia" w:ascii="宋体" w:hAnsi="宋体"/>
                      <w:szCs w:val="21"/>
                      <w:lang w:val="en-US" w:eastAsia="zh-CN"/>
                    </w:rPr>
                    <w:t>20</w:t>
                  </w:r>
                </w:p>
              </w:tc>
              <w:tc>
                <w:tcPr>
                  <w:tcW w:w="1276" w:type="dxa"/>
                  <w:shd w:val="clear" w:color="auto" w:fill="auto"/>
                  <w:noWrap/>
                  <w:vAlign w:val="center"/>
                </w:tcPr>
                <w:p>
                  <w:pPr>
                    <w:jc w:val="center"/>
                    <w:rPr>
                      <w:rFonts w:hint="default" w:eastAsiaTheme="minorEastAsia"/>
                      <w:lang w:val="en-US" w:eastAsia="zh-CN"/>
                    </w:rPr>
                  </w:pPr>
                  <w:r>
                    <w:rPr>
                      <w:rFonts w:hint="eastAsia" w:ascii="宋体" w:hAnsi="宋体"/>
                      <w:szCs w:val="21"/>
                      <w:lang w:val="en-US" w:eastAsia="zh-CN"/>
                    </w:rPr>
                    <w:t>20</w:t>
                  </w:r>
                </w:p>
              </w:tc>
              <w:tc>
                <w:tcPr>
                  <w:tcW w:w="1276" w:type="dxa"/>
                  <w:shd w:val="clear" w:color="auto" w:fill="auto"/>
                  <w:noWrap/>
                  <w:vAlign w:val="center"/>
                </w:tcPr>
                <w:p>
                  <w:pPr>
                    <w:jc w:val="center"/>
                    <w:rPr>
                      <w:rFonts w:hint="default" w:eastAsiaTheme="minorEastAsia"/>
                      <w:lang w:val="en-US" w:eastAsia="zh-CN"/>
                    </w:rPr>
                  </w:pPr>
                  <w:r>
                    <w:rPr>
                      <w:rFonts w:hint="eastAsia" w:ascii="宋体" w:hAnsi="宋体"/>
                      <w:szCs w:val="21"/>
                      <w:lang w:val="en-US" w:eastAsia="zh-CN"/>
                    </w:rPr>
                    <w:t>20</w:t>
                  </w:r>
                </w:p>
              </w:tc>
              <w:tc>
                <w:tcPr>
                  <w:tcW w:w="1276" w:type="dxa"/>
                  <w:shd w:val="clear" w:color="auto" w:fill="auto"/>
                  <w:noWrap/>
                  <w:vAlign w:val="center"/>
                </w:tcPr>
                <w:p>
                  <w:pPr>
                    <w:jc w:val="center"/>
                    <w:rPr>
                      <w:rFonts w:hint="default" w:eastAsiaTheme="minorEastAsia"/>
                      <w:lang w:val="en-US" w:eastAsia="zh-CN"/>
                    </w:rPr>
                  </w:pPr>
                  <w:r>
                    <w:rPr>
                      <w:rFonts w:hint="eastAsia" w:ascii="宋体" w:hAnsi="宋体"/>
                      <w:szCs w:val="21"/>
                      <w:lang w:val="en-US" w:eastAsia="zh-CN"/>
                    </w:rPr>
                    <w:t>20</w:t>
                  </w:r>
                </w:p>
              </w:tc>
              <w:tc>
                <w:tcPr>
                  <w:tcW w:w="1277" w:type="dxa"/>
                  <w:shd w:val="clear" w:color="auto" w:fill="auto"/>
                  <w:noWrap/>
                  <w:vAlign w:val="center"/>
                </w:tcPr>
                <w:p>
                  <w:pPr>
                    <w:jc w:val="center"/>
                    <w:rPr>
                      <w:rFonts w:hint="default" w:eastAsiaTheme="minorEastAsia"/>
                      <w:lang w:val="en-US" w:eastAsia="zh-CN"/>
                    </w:rPr>
                  </w:pPr>
                  <w:r>
                    <w:rPr>
                      <w:rFonts w:hint="eastAsia" w:ascii="宋体" w:hAnsi="宋体"/>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default" w:asciiTheme="minorAscii" w:hAnsiTheme="minorAscii" w:eastAsiaTheme="minorEastAsia"/>
                      <w:spacing w:val="-11"/>
                      <w:sz w:val="21"/>
                    </w:rPr>
                    <w:t>废尾气净化装置</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6"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c>
                <w:tcPr>
                  <w:tcW w:w="1277" w:type="dxa"/>
                  <w:shd w:val="clear" w:color="auto" w:fill="auto"/>
                  <w:noWrap/>
                  <w:vAlign w:val="center"/>
                </w:tcPr>
                <w:p>
                  <w:pPr>
                    <w:jc w:val="center"/>
                  </w:pPr>
                  <w:r>
                    <w:rPr>
                      <w:rFonts w:hint="eastAsia" w:ascii="宋体" w:hAnsi="宋体"/>
                      <w:szCs w:val="21"/>
                    </w:rPr>
                    <w:t>1.</w:t>
                  </w:r>
                  <w:r>
                    <w:rPr>
                      <w:rFonts w:hint="eastAsia" w:ascii="宋体" w:hAnsi="宋体"/>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废机油滤清器</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7</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7</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7</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7</w:t>
                  </w:r>
                </w:p>
              </w:tc>
              <w:tc>
                <w:tcPr>
                  <w:tcW w:w="127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废开关、电路板</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.5</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.5</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.5</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.5</w:t>
                  </w:r>
                </w:p>
              </w:tc>
              <w:tc>
                <w:tcPr>
                  <w:tcW w:w="127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1593" w:type="dxa"/>
                  <w:shd w:val="clear" w:color="auto" w:fill="auto"/>
                  <w:noWrap/>
                  <w:vAlign w:val="center"/>
                </w:tcPr>
                <w:p>
                  <w:pPr>
                    <w:jc w:val="center"/>
                  </w:pPr>
                  <w:r>
                    <w:rPr>
                      <w:rFonts w:hint="eastAsia"/>
                    </w:rPr>
                    <w:t>电容器</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.3</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.3</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.3</w:t>
                  </w:r>
                </w:p>
              </w:tc>
              <w:tc>
                <w:tcPr>
                  <w:tcW w:w="1276"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.3</w:t>
                  </w:r>
                </w:p>
              </w:tc>
              <w:tc>
                <w:tcPr>
                  <w:tcW w:w="127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ascii="宋体" w:hAnsi="宋体"/>
                      <w:szCs w:val="21"/>
                    </w:rPr>
                    <w:t>1</w:t>
                  </w:r>
                  <w:r>
                    <w:rPr>
                      <w:rFonts w:hint="eastAsia" w:ascii="宋体" w:hAnsi="宋体"/>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0" w:hRule="atLeast"/>
              </w:trPr>
              <w:tc>
                <w:tcPr>
                  <w:tcW w:w="7974" w:type="dxa"/>
                  <w:gridSpan w:val="6"/>
                  <w:shd w:val="clear" w:color="auto" w:fill="auto"/>
                  <w:noWrap/>
                  <w:vAlign w:val="center"/>
                </w:tcPr>
                <w:p>
                  <w:pPr>
                    <w:widowControl/>
                    <w:spacing w:line="360" w:lineRule="auto"/>
                    <w:jc w:val="left"/>
                  </w:pPr>
                  <w:r>
                    <w:rPr>
                      <w:rFonts w:hint="eastAsia"/>
                    </w:rPr>
                    <w:t>注：产生量单位为t/a。</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废水处理过程中隔油池和防渗沉淀池会产生一定量的含油污泥，每半月清理一次，年产生量为0.2t/a，该含油污泥属于危险废物，危险废物代码为HW900-041-49。含油污泥应单独收集，暂存于危险废物暂存间，委托有资质单位处理。</w:t>
            </w:r>
          </w:p>
          <w:p>
            <w:pPr>
              <w:pStyle w:val="3"/>
              <w:spacing w:before="62" w:after="62"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废活性炭使用量为0.25t/t活性炭，每吸附0.25t有机废气消耗1t活性炭，本项目非甲烷总烃去除量为0.016t/a，故活性炭使用量为0.06t/a，废活性炭产生量为0.08t/a。</w:t>
            </w:r>
          </w:p>
          <w:p>
            <w:pPr>
              <w:pStyle w:val="3"/>
              <w:spacing w:before="62" w:after="62"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以上危险废物分别使用专用容器存储，油液存储容器应使用密闭性、防腐蚀性能好的</w:t>
            </w:r>
            <w:r>
              <w:rPr>
                <w:rFonts w:hint="eastAsia" w:ascii="宋体" w:hAnsi="宋体" w:eastAsia="宋体" w:cs="宋体"/>
                <w:color w:val="auto"/>
                <w:sz w:val="24"/>
                <w:szCs w:val="24"/>
              </w:rPr>
              <w:t>材质</w:t>
            </w:r>
            <w:r>
              <w:rPr>
                <w:rFonts w:hint="eastAsia" w:ascii="宋体" w:hAnsi="宋体" w:eastAsia="宋体" w:cs="宋体"/>
                <w:sz w:val="24"/>
                <w:szCs w:val="24"/>
                <w:lang w:eastAsia="zh-CN"/>
              </w:rPr>
              <w:t>，</w:t>
            </w:r>
            <w:r>
              <w:rPr>
                <w:rFonts w:hint="eastAsia" w:ascii="宋体" w:hAnsi="宋体" w:eastAsia="宋体" w:cs="宋体"/>
                <w:sz w:val="24"/>
                <w:szCs w:val="24"/>
              </w:rPr>
              <w:t>破损</w:t>
            </w:r>
            <w:r>
              <w:rPr>
                <w:rFonts w:hint="eastAsia" w:ascii="宋体" w:hAnsi="宋体" w:eastAsia="宋体" w:cs="宋体"/>
                <w:sz w:val="24"/>
                <w:szCs w:val="24"/>
                <w:lang w:eastAsia="zh-CN"/>
              </w:rPr>
              <w:t>废</w:t>
            </w:r>
            <w:r>
              <w:rPr>
                <w:rFonts w:hint="eastAsia" w:ascii="宋体" w:hAnsi="宋体" w:eastAsia="宋体" w:cs="宋体"/>
                <w:sz w:val="24"/>
                <w:szCs w:val="24"/>
              </w:rPr>
              <w:t>铅酸蓄电池贮存在耐酸容器中</w:t>
            </w:r>
            <w:r>
              <w:rPr>
                <w:rFonts w:hint="eastAsia" w:ascii="宋体" w:hAnsi="宋体" w:eastAsia="宋体" w:cs="宋体"/>
                <w:sz w:val="24"/>
                <w:szCs w:val="24"/>
                <w:lang w:eastAsia="zh-CN"/>
              </w:rPr>
              <w:t>，</w:t>
            </w:r>
            <w:r>
              <w:rPr>
                <w:rFonts w:hint="eastAsia" w:ascii="宋体" w:hAnsi="宋体" w:eastAsia="宋体" w:cs="宋体"/>
                <w:sz w:val="24"/>
                <w:szCs w:val="24"/>
              </w:rPr>
              <w:t>暂存于危险废物暂存间，定期交有资质单位处理。</w:t>
            </w:r>
          </w:p>
          <w:p>
            <w:pPr>
              <w:spacing w:line="360" w:lineRule="auto"/>
              <w:ind w:firstLine="480"/>
              <w:jc w:val="left"/>
              <w:rPr>
                <w:rFonts w:hint="eastAsia" w:ascii="宋体" w:hAnsi="宋体" w:eastAsia="宋体" w:cs="宋体"/>
                <w:b/>
                <w:bCs/>
                <w:sz w:val="24"/>
                <w:szCs w:val="24"/>
              </w:rPr>
            </w:pPr>
            <w:r>
              <w:rPr>
                <w:rFonts w:hint="eastAsia" w:ascii="宋体" w:hAnsi="宋体" w:eastAsia="宋体" w:cs="宋体"/>
                <w:b/>
                <w:bCs/>
                <w:sz w:val="24"/>
                <w:szCs w:val="24"/>
              </w:rPr>
              <w:t>（2）固体废物处理与处置</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①一般固体废物（括产品）</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本项目一般固体废物（不包括产品）产排情况详见下表：</w:t>
            </w:r>
          </w:p>
          <w:p>
            <w:pPr>
              <w:pStyle w:val="10"/>
              <w:wordWrap w:val="0"/>
              <w:spacing w:after="0" w:line="360" w:lineRule="auto"/>
              <w:ind w:firstLine="482" w:firstLineChars="200"/>
              <w:jc w:val="right"/>
              <w:rPr>
                <w:rFonts w:hint="default" w:eastAsiaTheme="minorEastAsia"/>
                <w:lang w:val="en-US" w:eastAsia="zh-CN"/>
              </w:rPr>
            </w:pPr>
            <w:r>
              <w:rPr>
                <w:rFonts w:hint="eastAsia"/>
                <w:b/>
                <w:bCs/>
                <w:sz w:val="24"/>
                <w:szCs w:val="24"/>
              </w:rPr>
              <w:t>表</w:t>
            </w:r>
            <w:r>
              <w:rPr>
                <w:rFonts w:hint="eastAsia"/>
                <w:b/>
                <w:bCs/>
                <w:sz w:val="24"/>
                <w:szCs w:val="24"/>
                <w:lang w:val="en-US" w:eastAsia="zh-CN"/>
              </w:rPr>
              <w:t>48</w:t>
            </w:r>
            <w:r>
              <w:rPr>
                <w:rFonts w:hint="eastAsia"/>
                <w:b/>
                <w:bCs/>
                <w:sz w:val="24"/>
                <w:szCs w:val="24"/>
              </w:rPr>
              <w:t xml:space="preserve">  本项目固体废物产排情况一览表  </w:t>
            </w:r>
            <w:r>
              <w:rPr>
                <w:rFonts w:hint="eastAsia"/>
                <w:b/>
                <w:bCs/>
                <w:sz w:val="24"/>
                <w:szCs w:val="24"/>
                <w:lang w:val="en-US" w:eastAsia="zh-CN"/>
              </w:rPr>
              <w:t xml:space="preserve">     </w:t>
            </w:r>
            <w:r>
              <w:rPr>
                <w:rFonts w:hint="eastAsia"/>
                <w:b/>
                <w:bCs/>
                <w:sz w:val="24"/>
                <w:szCs w:val="24"/>
              </w:rPr>
              <w:t xml:space="preserve"> 单位：t/a</w:t>
            </w:r>
            <w:r>
              <w:rPr>
                <w:rFonts w:hint="eastAsia"/>
                <w:lang w:val="en-US" w:eastAsia="zh-CN"/>
              </w:rPr>
              <w:t xml:space="preserve">   </w:t>
            </w:r>
          </w:p>
          <w:tbl>
            <w:tblPr>
              <w:tblStyle w:val="25"/>
              <w:tblW w:w="816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86"/>
              <w:gridCol w:w="1119"/>
              <w:gridCol w:w="825"/>
              <w:gridCol w:w="838"/>
              <w:gridCol w:w="1627"/>
              <w:gridCol w:w="1559"/>
              <w:gridCol w:w="1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9" w:hRule="atLeast"/>
              </w:trPr>
              <w:tc>
                <w:tcPr>
                  <w:tcW w:w="586" w:type="dxa"/>
                  <w:shd w:val="clear" w:color="auto" w:fill="auto"/>
                  <w:noWrap/>
                  <w:vAlign w:val="center"/>
                </w:tcPr>
                <w:p>
                  <w:pPr>
                    <w:snapToGrid w:val="0"/>
                    <w:jc w:val="center"/>
                    <w:rPr>
                      <w:b/>
                      <w:bCs/>
                    </w:rPr>
                  </w:pPr>
                  <w:r>
                    <w:rPr>
                      <w:rFonts w:hint="eastAsia"/>
                      <w:b/>
                      <w:bCs/>
                    </w:rPr>
                    <w:t>序号</w:t>
                  </w:r>
                </w:p>
              </w:tc>
              <w:tc>
                <w:tcPr>
                  <w:tcW w:w="1119" w:type="dxa"/>
                  <w:shd w:val="clear" w:color="auto" w:fill="auto"/>
                  <w:noWrap/>
                  <w:vAlign w:val="center"/>
                </w:tcPr>
                <w:p>
                  <w:pPr>
                    <w:snapToGrid w:val="0"/>
                    <w:jc w:val="center"/>
                    <w:rPr>
                      <w:b/>
                      <w:bCs/>
                    </w:rPr>
                  </w:pPr>
                  <w:r>
                    <w:rPr>
                      <w:rFonts w:hint="eastAsia"/>
                      <w:b/>
                      <w:bCs/>
                    </w:rPr>
                    <w:t>名称</w:t>
                  </w:r>
                </w:p>
              </w:tc>
              <w:tc>
                <w:tcPr>
                  <w:tcW w:w="825" w:type="dxa"/>
                  <w:shd w:val="clear" w:color="auto" w:fill="auto"/>
                  <w:noWrap/>
                  <w:vAlign w:val="center"/>
                </w:tcPr>
                <w:p>
                  <w:pPr>
                    <w:snapToGrid w:val="0"/>
                    <w:jc w:val="center"/>
                    <w:rPr>
                      <w:b/>
                      <w:bCs/>
                    </w:rPr>
                  </w:pPr>
                  <w:r>
                    <w:rPr>
                      <w:b/>
                      <w:bCs/>
                    </w:rPr>
                    <w:t>产生</w:t>
                  </w:r>
                </w:p>
                <w:p>
                  <w:pPr>
                    <w:snapToGrid w:val="0"/>
                    <w:jc w:val="center"/>
                    <w:rPr>
                      <w:b/>
                      <w:bCs/>
                    </w:rPr>
                  </w:pPr>
                  <w:r>
                    <w:rPr>
                      <w:b/>
                      <w:bCs/>
                    </w:rPr>
                    <w:t>环节</w:t>
                  </w:r>
                </w:p>
              </w:tc>
              <w:tc>
                <w:tcPr>
                  <w:tcW w:w="838" w:type="dxa"/>
                  <w:shd w:val="clear" w:color="auto" w:fill="auto"/>
                  <w:noWrap/>
                  <w:vAlign w:val="center"/>
                </w:tcPr>
                <w:p>
                  <w:pPr>
                    <w:snapToGrid w:val="0"/>
                    <w:jc w:val="center"/>
                    <w:rPr>
                      <w:b/>
                      <w:bCs/>
                    </w:rPr>
                  </w:pPr>
                  <w:r>
                    <w:rPr>
                      <w:rFonts w:hint="eastAsia"/>
                      <w:b/>
                      <w:bCs/>
                    </w:rPr>
                    <w:t>产生量</w:t>
                  </w:r>
                </w:p>
              </w:tc>
              <w:tc>
                <w:tcPr>
                  <w:tcW w:w="1627" w:type="dxa"/>
                  <w:shd w:val="clear" w:color="auto" w:fill="auto"/>
                  <w:noWrap/>
                  <w:vAlign w:val="center"/>
                </w:tcPr>
                <w:p>
                  <w:pPr>
                    <w:snapToGrid w:val="0"/>
                    <w:jc w:val="center"/>
                    <w:rPr>
                      <w:b/>
                      <w:bCs/>
                    </w:rPr>
                  </w:pPr>
                  <w:r>
                    <w:rPr>
                      <w:rFonts w:hint="eastAsia"/>
                      <w:b/>
                      <w:bCs/>
                    </w:rPr>
                    <w:t>贮存方式</w:t>
                  </w:r>
                </w:p>
              </w:tc>
              <w:tc>
                <w:tcPr>
                  <w:tcW w:w="1559" w:type="dxa"/>
                  <w:shd w:val="clear" w:color="auto" w:fill="auto"/>
                  <w:noWrap/>
                  <w:vAlign w:val="center"/>
                </w:tcPr>
                <w:p>
                  <w:pPr>
                    <w:snapToGrid w:val="0"/>
                    <w:jc w:val="center"/>
                    <w:rPr>
                      <w:b/>
                      <w:bCs/>
                    </w:rPr>
                  </w:pPr>
                  <w:r>
                    <w:rPr>
                      <w:rFonts w:hint="eastAsia"/>
                      <w:b/>
                      <w:bCs/>
                    </w:rPr>
                    <w:t>属性</w:t>
                  </w:r>
                </w:p>
              </w:tc>
              <w:tc>
                <w:tcPr>
                  <w:tcW w:w="1611" w:type="dxa"/>
                  <w:shd w:val="clear" w:color="auto" w:fill="auto"/>
                  <w:noWrap/>
                  <w:vAlign w:val="center"/>
                </w:tcPr>
                <w:p>
                  <w:pPr>
                    <w:snapToGrid w:val="0"/>
                    <w:jc w:val="center"/>
                    <w:rPr>
                      <w:b/>
                      <w:bCs/>
                    </w:rPr>
                  </w:pPr>
                  <w:r>
                    <w:rPr>
                      <w:rFonts w:hint="eastAsia"/>
                      <w:b/>
                      <w:bCs/>
                    </w:rPr>
                    <w:t>处置方式和去向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1</w:t>
                  </w:r>
                </w:p>
              </w:tc>
              <w:tc>
                <w:tcPr>
                  <w:tcW w:w="1119" w:type="dxa"/>
                  <w:shd w:val="clear" w:color="auto" w:fill="auto"/>
                  <w:noWrap/>
                  <w:vAlign w:val="center"/>
                </w:tcPr>
                <w:p>
                  <w:pPr>
                    <w:snapToGrid w:val="0"/>
                    <w:jc w:val="center"/>
                  </w:pPr>
                  <w:r>
                    <w:rPr>
                      <w:rFonts w:hint="eastAsia"/>
                    </w:rPr>
                    <w:t>生活垃圾</w:t>
                  </w:r>
                </w:p>
              </w:tc>
              <w:tc>
                <w:tcPr>
                  <w:tcW w:w="825" w:type="dxa"/>
                  <w:shd w:val="clear" w:color="auto" w:fill="auto"/>
                  <w:noWrap/>
                  <w:vAlign w:val="center"/>
                </w:tcPr>
                <w:p>
                  <w:pPr>
                    <w:snapToGrid w:val="0"/>
                    <w:jc w:val="center"/>
                  </w:pPr>
                  <w:r>
                    <w:rPr>
                      <w:rFonts w:hint="eastAsia"/>
                    </w:rPr>
                    <w:t>职工</w:t>
                  </w:r>
                </w:p>
              </w:tc>
              <w:tc>
                <w:tcPr>
                  <w:tcW w:w="838" w:type="dxa"/>
                  <w:shd w:val="clear" w:color="auto" w:fill="auto"/>
                  <w:noWrap/>
                  <w:vAlign w:val="center"/>
                </w:tcPr>
                <w:p>
                  <w:pPr>
                    <w:snapToGrid w:val="0"/>
                    <w:jc w:val="center"/>
                  </w:pPr>
                  <w:r>
                    <w:rPr>
                      <w:rFonts w:hint="eastAsia"/>
                    </w:rPr>
                    <w:t>3.5</w:t>
                  </w:r>
                </w:p>
              </w:tc>
              <w:tc>
                <w:tcPr>
                  <w:tcW w:w="1627" w:type="dxa"/>
                  <w:shd w:val="clear" w:color="auto" w:fill="auto"/>
                  <w:noWrap/>
                  <w:vAlign w:val="center"/>
                </w:tcPr>
                <w:p>
                  <w:pPr>
                    <w:snapToGrid w:val="0"/>
                    <w:jc w:val="center"/>
                  </w:pPr>
                  <w:r>
                    <w:rPr>
                      <w:rFonts w:hint="eastAsia"/>
                    </w:rPr>
                    <w:t>分类存于垃圾桶</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421-999-99</w:t>
                  </w:r>
                </w:p>
              </w:tc>
              <w:tc>
                <w:tcPr>
                  <w:tcW w:w="1611" w:type="dxa"/>
                  <w:shd w:val="clear" w:color="auto" w:fill="auto"/>
                  <w:noWrap/>
                  <w:vAlign w:val="center"/>
                </w:tcPr>
                <w:p>
                  <w:pPr>
                    <w:snapToGrid w:val="0"/>
                    <w:jc w:val="center"/>
                  </w:pPr>
                  <w:r>
                    <w:rPr>
                      <w:rFonts w:hint="eastAsia"/>
                    </w:rPr>
                    <w:t>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2</w:t>
                  </w:r>
                </w:p>
              </w:tc>
              <w:tc>
                <w:tcPr>
                  <w:tcW w:w="1119" w:type="dxa"/>
                  <w:shd w:val="clear" w:color="auto" w:fill="auto"/>
                  <w:noWrap/>
                  <w:vAlign w:val="center"/>
                </w:tcPr>
                <w:p>
                  <w:pPr>
                    <w:jc w:val="center"/>
                  </w:pPr>
                  <w:r>
                    <w:t>毁形总成</w:t>
                  </w:r>
                </w:p>
              </w:tc>
              <w:tc>
                <w:tcPr>
                  <w:tcW w:w="825" w:type="dxa"/>
                  <w:vMerge w:val="restart"/>
                  <w:shd w:val="clear" w:color="auto" w:fill="auto"/>
                  <w:noWrap/>
                  <w:vAlign w:val="center"/>
                </w:tcPr>
                <w:p>
                  <w:pPr>
                    <w:snapToGrid w:val="0"/>
                    <w:jc w:val="center"/>
                    <w:rPr>
                      <w:rFonts w:hint="eastAsia"/>
                    </w:rPr>
                  </w:pPr>
                  <w:r>
                    <w:rPr>
                      <w:rFonts w:hint="eastAsia"/>
                    </w:rPr>
                    <w:t>拆解</w:t>
                  </w:r>
                </w:p>
                <w:p>
                  <w:pPr>
                    <w:snapToGrid w:val="0"/>
                    <w:jc w:val="center"/>
                  </w:pPr>
                  <w:r>
                    <w:rPr>
                      <w:rFonts w:hint="eastAsia"/>
                    </w:rPr>
                    <w:t>工序</w:t>
                  </w:r>
                </w:p>
              </w:tc>
              <w:tc>
                <w:tcPr>
                  <w:tcW w:w="838" w:type="dxa"/>
                  <w:shd w:val="clear" w:color="auto" w:fill="auto"/>
                  <w:noWrap/>
                  <w:vAlign w:val="center"/>
                </w:tcPr>
                <w:p>
                  <w:pPr>
                    <w:adjustRightInd w:val="0"/>
                    <w:snapToGrid w:val="0"/>
                    <w:jc w:val="center"/>
                  </w:pPr>
                  <w:r>
                    <w:rPr>
                      <w:rFonts w:hint="eastAsia"/>
                    </w:rPr>
                    <w:t>2050</w:t>
                  </w:r>
                </w:p>
              </w:tc>
              <w:tc>
                <w:tcPr>
                  <w:tcW w:w="1627" w:type="dxa"/>
                  <w:shd w:val="clear" w:color="auto" w:fill="auto"/>
                  <w:noWrap/>
                  <w:vAlign w:val="center"/>
                </w:tcPr>
                <w:p>
                  <w:pPr>
                    <w:jc w:val="center"/>
                    <w:rPr>
                      <w:rFonts w:hint="eastAsia" w:eastAsiaTheme="minorEastAsia"/>
                      <w:lang w:val="en-US" w:eastAsia="zh-CN"/>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421-001-09</w:t>
                  </w:r>
                </w:p>
              </w:tc>
              <w:tc>
                <w:tcPr>
                  <w:tcW w:w="1611" w:type="dxa"/>
                  <w:vMerge w:val="restart"/>
                  <w:shd w:val="clear" w:color="auto" w:fill="auto"/>
                  <w:noWrap/>
                  <w:vAlign w:val="center"/>
                </w:tcPr>
                <w:p>
                  <w:pPr>
                    <w:snapToGrid w:val="0"/>
                    <w:jc w:val="center"/>
                  </w:pPr>
                  <w:r>
                    <w:rPr>
                      <w:rFonts w:hint="eastAsia"/>
                    </w:rPr>
                    <w:t>外售下游回收</w:t>
                  </w:r>
                </w:p>
                <w:p>
                  <w:pPr>
                    <w:snapToGrid w:val="0"/>
                    <w:jc w:val="center"/>
                  </w:pPr>
                  <w:r>
                    <w:rPr>
                      <w:rFonts w:hint="eastAsia"/>
                    </w:rPr>
                    <w:t>利用单位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3</w:t>
                  </w:r>
                </w:p>
              </w:tc>
              <w:tc>
                <w:tcPr>
                  <w:tcW w:w="1119" w:type="dxa"/>
                  <w:shd w:val="clear" w:color="auto" w:fill="auto"/>
                  <w:noWrap/>
                  <w:vAlign w:val="center"/>
                </w:tcPr>
                <w:p>
                  <w:pPr>
                    <w:jc w:val="center"/>
                  </w:pPr>
                  <w:r>
                    <w:t>废玻璃</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42.5</w:t>
                  </w:r>
                </w:p>
              </w:tc>
              <w:tc>
                <w:tcPr>
                  <w:tcW w:w="1627" w:type="dxa"/>
                  <w:shd w:val="clear" w:color="auto" w:fill="auto"/>
                  <w:noWrap/>
                  <w:vAlign w:val="center"/>
                </w:tcPr>
                <w:p>
                  <w:pPr>
                    <w:jc w:val="cente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421-001-08</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4</w:t>
                  </w:r>
                </w:p>
              </w:tc>
              <w:tc>
                <w:tcPr>
                  <w:tcW w:w="1119" w:type="dxa"/>
                  <w:shd w:val="clear" w:color="auto" w:fill="auto"/>
                  <w:noWrap/>
                  <w:vAlign w:val="center"/>
                </w:tcPr>
                <w:p>
                  <w:pPr>
                    <w:jc w:val="center"/>
                  </w:pPr>
                  <w:r>
                    <w:t>废</w:t>
                  </w:r>
                  <w:r>
                    <w:rPr>
                      <w:rFonts w:hint="eastAsia"/>
                    </w:rPr>
                    <w:t>橡胶</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343.8</w:t>
                  </w:r>
                </w:p>
              </w:tc>
              <w:tc>
                <w:tcPr>
                  <w:tcW w:w="1627" w:type="dxa"/>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421-001-05</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5</w:t>
                  </w:r>
                </w:p>
              </w:tc>
              <w:tc>
                <w:tcPr>
                  <w:tcW w:w="1119" w:type="dxa"/>
                  <w:shd w:val="clear" w:color="auto" w:fill="auto"/>
                  <w:noWrap/>
                  <w:vAlign w:val="center"/>
                </w:tcPr>
                <w:p>
                  <w:pPr>
                    <w:jc w:val="center"/>
                  </w:pPr>
                  <w:r>
                    <w:t>钢铁</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pPr>
                  <w:r>
                    <w:rPr>
                      <w:rFonts w:hint="eastAsia"/>
                    </w:rPr>
                    <w:t>5510</w:t>
                  </w:r>
                </w:p>
              </w:tc>
              <w:tc>
                <w:tcPr>
                  <w:tcW w:w="162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421-001-09</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6</w:t>
                  </w:r>
                </w:p>
              </w:tc>
              <w:tc>
                <w:tcPr>
                  <w:tcW w:w="1119" w:type="dxa"/>
                  <w:shd w:val="clear" w:color="auto" w:fill="auto"/>
                  <w:noWrap/>
                  <w:vAlign w:val="center"/>
                </w:tcPr>
                <w:p>
                  <w:pPr>
                    <w:jc w:val="center"/>
                  </w:pPr>
                  <w:r>
                    <w:t>零部件</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148.8</w:t>
                  </w:r>
                </w:p>
              </w:tc>
              <w:tc>
                <w:tcPr>
                  <w:tcW w:w="1627" w:type="dxa"/>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421-001-09</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7</w:t>
                  </w:r>
                </w:p>
              </w:tc>
              <w:tc>
                <w:tcPr>
                  <w:tcW w:w="1119" w:type="dxa"/>
                  <w:shd w:val="clear" w:color="auto" w:fill="auto"/>
                  <w:noWrap/>
                  <w:vAlign w:val="center"/>
                </w:tcPr>
                <w:p>
                  <w:pPr>
                    <w:jc w:val="center"/>
                  </w:pPr>
                  <w:r>
                    <w:t>有色金属</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102.3</w:t>
                  </w:r>
                </w:p>
              </w:tc>
              <w:tc>
                <w:tcPr>
                  <w:tcW w:w="162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421-001-10</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8</w:t>
                  </w:r>
                </w:p>
              </w:tc>
              <w:tc>
                <w:tcPr>
                  <w:tcW w:w="1119" w:type="dxa"/>
                  <w:shd w:val="clear" w:color="auto" w:fill="auto"/>
                  <w:noWrap/>
                  <w:vAlign w:val="center"/>
                </w:tcPr>
                <w:p>
                  <w:pPr>
                    <w:jc w:val="center"/>
                  </w:pPr>
                  <w:r>
                    <w:t>废塑料</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62.3</w:t>
                  </w:r>
                </w:p>
              </w:tc>
              <w:tc>
                <w:tcPr>
                  <w:tcW w:w="1627" w:type="dxa"/>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rPr>
                      <w:rFonts w:hint="eastAsia"/>
                    </w:rPr>
                    <w:t>421-001-06</w:t>
                  </w:r>
                </w:p>
              </w:tc>
              <w:tc>
                <w:tcPr>
                  <w:tcW w:w="1611" w:type="dxa"/>
                  <w:vMerge w:val="continue"/>
                  <w:shd w:val="clear" w:color="auto" w:fill="auto"/>
                  <w:noWrap/>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86" w:type="dxa"/>
                  <w:shd w:val="clear" w:color="auto" w:fill="auto"/>
                  <w:noWrap/>
                  <w:vAlign w:val="center"/>
                </w:tcPr>
                <w:p>
                  <w:pPr>
                    <w:snapToGrid w:val="0"/>
                    <w:jc w:val="center"/>
                  </w:pPr>
                  <w:r>
                    <w:rPr>
                      <w:rFonts w:hint="eastAsia"/>
                    </w:rPr>
                    <w:t>9</w:t>
                  </w:r>
                </w:p>
              </w:tc>
              <w:tc>
                <w:tcPr>
                  <w:tcW w:w="1119" w:type="dxa"/>
                  <w:shd w:val="clear" w:color="auto" w:fill="auto"/>
                  <w:noWrap/>
                  <w:vAlign w:val="center"/>
                </w:tcPr>
                <w:p>
                  <w:pPr>
                    <w:jc w:val="center"/>
                  </w:pPr>
                  <w:r>
                    <w:t>纤维</w:t>
                  </w:r>
                  <w:r>
                    <w:rPr>
                      <w:rFonts w:hint="eastAsia"/>
                    </w:rPr>
                    <w:t>、</w:t>
                  </w:r>
                  <w:r>
                    <w:t>皮革</w:t>
                  </w:r>
                </w:p>
              </w:tc>
              <w:tc>
                <w:tcPr>
                  <w:tcW w:w="825" w:type="dxa"/>
                  <w:vMerge w:val="continue"/>
                  <w:shd w:val="clear" w:color="auto" w:fill="auto"/>
                  <w:noWrap/>
                  <w:vAlign w:val="center"/>
                </w:tcPr>
                <w:p>
                  <w:pPr>
                    <w:snapToGrid w:val="0"/>
                    <w:jc w:val="center"/>
                  </w:pPr>
                </w:p>
              </w:tc>
              <w:tc>
                <w:tcPr>
                  <w:tcW w:w="838" w:type="dxa"/>
                  <w:shd w:val="clear" w:color="auto" w:fill="auto"/>
                  <w:noWrap/>
                  <w:vAlign w:val="center"/>
                </w:tcPr>
                <w:p>
                  <w:pPr>
                    <w:adjustRightInd w:val="0"/>
                    <w:snapToGrid w:val="0"/>
                    <w:jc w:val="center"/>
                    <w:rPr>
                      <w:rFonts w:hint="default" w:eastAsiaTheme="minorEastAsia"/>
                      <w:lang w:val="en-US" w:eastAsia="zh-CN"/>
                    </w:rPr>
                  </w:pPr>
                  <w:r>
                    <w:rPr>
                      <w:rFonts w:hint="eastAsia"/>
                      <w:lang w:val="en-US" w:eastAsia="zh-CN"/>
                    </w:rPr>
                    <w:t>60.2</w:t>
                  </w:r>
                </w:p>
              </w:tc>
              <w:tc>
                <w:tcPr>
                  <w:tcW w:w="1627" w:type="dxa"/>
                  <w:shd w:val="clear" w:color="auto" w:fill="auto"/>
                  <w:noWrap/>
                  <w:vAlign w:val="center"/>
                </w:tcPr>
                <w:p>
                  <w:pPr>
                    <w:jc w:val="center"/>
                    <w:rPr>
                      <w:rFonts w:asciiTheme="minorHAnsi" w:hAnsiTheme="minorHAnsi" w:eastAsiaTheme="minorEastAsia" w:cstheme="minorBidi"/>
                      <w:kern w:val="2"/>
                      <w:sz w:val="21"/>
                      <w:szCs w:val="24"/>
                      <w:lang w:val="en-US" w:eastAsia="zh-CN" w:bidi="ar-SA"/>
                    </w:rPr>
                  </w:pPr>
                  <w:r>
                    <w:rPr>
                      <w:rFonts w:hint="eastAsia"/>
                    </w:rPr>
                    <w:t>分类存于</w:t>
                  </w:r>
                  <w:r>
                    <w:t>库</w:t>
                  </w:r>
                  <w:r>
                    <w:rPr>
                      <w:rFonts w:hint="eastAsia"/>
                      <w:lang w:eastAsia="zh-CN"/>
                    </w:rPr>
                    <w:t>房</w:t>
                  </w:r>
                </w:p>
              </w:tc>
              <w:tc>
                <w:tcPr>
                  <w:tcW w:w="1559" w:type="dxa"/>
                  <w:shd w:val="clear" w:color="auto" w:fill="auto"/>
                  <w:noWrap/>
                  <w:vAlign w:val="center"/>
                </w:tcPr>
                <w:p>
                  <w:pPr>
                    <w:snapToGrid w:val="0"/>
                    <w:jc w:val="center"/>
                  </w:pPr>
                  <w:r>
                    <w:rPr>
                      <w:rFonts w:hint="eastAsia"/>
                    </w:rPr>
                    <w:t>一般固体废物</w:t>
                  </w:r>
                </w:p>
                <w:p>
                  <w:pPr>
                    <w:snapToGrid w:val="0"/>
                    <w:jc w:val="center"/>
                  </w:pPr>
                  <w:r>
                    <w:t>421-001-0</w:t>
                  </w:r>
                  <w:r>
                    <w:rPr>
                      <w:rFonts w:hint="eastAsia"/>
                    </w:rPr>
                    <w:t>1</w:t>
                  </w:r>
                </w:p>
                <w:p>
                  <w:pPr>
                    <w:snapToGrid w:val="0"/>
                    <w:jc w:val="center"/>
                  </w:pPr>
                  <w:r>
                    <w:rPr>
                      <w:rFonts w:hint="eastAsia"/>
                    </w:rPr>
                    <w:t>421-001-02</w:t>
                  </w:r>
                </w:p>
              </w:tc>
              <w:tc>
                <w:tcPr>
                  <w:tcW w:w="1611" w:type="dxa"/>
                  <w:vMerge w:val="continue"/>
                  <w:shd w:val="clear" w:color="auto" w:fill="auto"/>
                  <w:noWrap/>
                  <w:vAlign w:val="center"/>
                </w:tcPr>
                <w:p>
                  <w:pPr>
                    <w:snapToGrid w:val="0"/>
                    <w:jc w:val="center"/>
                  </w:pPr>
                </w:p>
              </w:tc>
            </w:tr>
          </w:tbl>
          <w:p>
            <w:pPr>
              <w:ind w:firstLine="482" w:firstLineChars="200"/>
              <w:rPr>
                <w:b/>
                <w:bCs/>
                <w:sz w:val="24"/>
                <w:szCs w:val="24"/>
              </w:rPr>
            </w:pPr>
            <w:r>
              <w:rPr>
                <w:rFonts w:hint="eastAsia"/>
                <w:b/>
                <w:bCs/>
                <w:sz w:val="24"/>
                <w:szCs w:val="24"/>
              </w:rPr>
              <w:t>②危险废物</w:t>
            </w:r>
          </w:p>
          <w:p>
            <w:pPr>
              <w:pStyle w:val="2"/>
              <w:rPr>
                <w:rFonts w:hint="eastAsia"/>
                <w:color w:val="auto"/>
                <w:sz w:val="24"/>
                <w:szCs w:val="24"/>
              </w:rPr>
            </w:pPr>
            <w:r>
              <w:rPr>
                <w:rFonts w:hint="eastAsia"/>
                <w:color w:val="auto"/>
                <w:sz w:val="24"/>
                <w:szCs w:val="24"/>
              </w:rPr>
              <w:t>本项目危险废物产排情况汇总表如下：</w:t>
            </w:r>
          </w:p>
          <w:p>
            <w:pPr>
              <w:spacing w:line="360" w:lineRule="auto"/>
              <w:jc w:val="center"/>
              <w:rPr>
                <w:b/>
                <w:bCs/>
                <w:sz w:val="24"/>
                <w:szCs w:val="24"/>
              </w:rPr>
            </w:pPr>
            <w:r>
              <w:rPr>
                <w:rFonts w:hint="eastAsia"/>
                <w:b/>
                <w:bCs/>
                <w:sz w:val="24"/>
                <w:szCs w:val="24"/>
              </w:rPr>
              <w:t>表</w:t>
            </w:r>
            <w:r>
              <w:rPr>
                <w:rFonts w:hint="eastAsia"/>
                <w:b/>
                <w:bCs/>
                <w:sz w:val="24"/>
                <w:szCs w:val="24"/>
                <w:lang w:val="en-US" w:eastAsia="zh-CN"/>
              </w:rPr>
              <w:t>49</w:t>
            </w:r>
            <w:r>
              <w:rPr>
                <w:rFonts w:hint="eastAsia"/>
                <w:b/>
                <w:bCs/>
                <w:sz w:val="24"/>
                <w:szCs w:val="24"/>
              </w:rPr>
              <w:t xml:space="preserve">  本项目危险废物汇总表</w:t>
            </w:r>
          </w:p>
          <w:tbl>
            <w:tblPr>
              <w:tblStyle w:val="26"/>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668"/>
              <w:gridCol w:w="668"/>
              <w:gridCol w:w="668"/>
              <w:gridCol w:w="668"/>
              <w:gridCol w:w="668"/>
              <w:gridCol w:w="668"/>
              <w:gridCol w:w="668"/>
              <w:gridCol w:w="668"/>
              <w:gridCol w:w="66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序号</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危险废物名称</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危险废物类别</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危险废物代码</w:t>
                  </w:r>
                </w:p>
              </w:tc>
              <w:tc>
                <w:tcPr>
                  <w:tcW w:w="668" w:type="dxa"/>
                  <w:tcBorders>
                    <w:top w:val="single" w:color="auto" w:sz="12" w:space="0"/>
                    <w:bottom w:val="single" w:color="auto" w:sz="4" w:space="0"/>
                  </w:tcBorders>
                  <w:vAlign w:val="center"/>
                </w:tcPr>
                <w:p>
                  <w:pPr>
                    <w:topLinePunct/>
                    <w:adjustRightInd w:val="0"/>
                    <w:snapToGrid w:val="0"/>
                    <w:jc w:val="center"/>
                    <w:rPr>
                      <w:rFonts w:hint="eastAsia" w:eastAsiaTheme="minorEastAsia"/>
                      <w:b/>
                      <w:bCs/>
                      <w:lang w:val="en-US" w:eastAsia="zh-CN"/>
                    </w:rPr>
                  </w:pPr>
                  <w:r>
                    <w:rPr>
                      <w:rFonts w:hint="eastAsia"/>
                      <w:b/>
                      <w:bCs/>
                    </w:rPr>
                    <w:t>产生量</w:t>
                  </w:r>
                  <w:r>
                    <w:rPr>
                      <w:rFonts w:hint="eastAsia"/>
                      <w:b/>
                      <w:bCs/>
                      <w:lang w:val="en-US" w:eastAsia="zh-CN"/>
                    </w:rPr>
                    <w:t>(</w:t>
                  </w:r>
                  <w:r>
                    <w:rPr>
                      <w:rFonts w:hint="eastAsia"/>
                      <w:b/>
                      <w:bCs/>
                    </w:rPr>
                    <w:t>t/a</w:t>
                  </w:r>
                  <w:r>
                    <w:rPr>
                      <w:rFonts w:hint="eastAsia"/>
                      <w:b/>
                      <w:bCs/>
                      <w:lang w:val="en-US" w:eastAsia="zh-CN"/>
                    </w:rPr>
                    <w:t>)</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产生工序及装置</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形态</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主要成分</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有害成分</w:t>
                  </w:r>
                </w:p>
              </w:tc>
              <w:tc>
                <w:tcPr>
                  <w:tcW w:w="668"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产废周期</w:t>
                  </w:r>
                </w:p>
              </w:tc>
              <w:tc>
                <w:tcPr>
                  <w:tcW w:w="669" w:type="dxa"/>
                  <w:tcBorders>
                    <w:top w:val="single" w:color="auto" w:sz="12" w:space="0"/>
                    <w:bottom w:val="single" w:color="auto" w:sz="4" w:space="0"/>
                  </w:tcBorders>
                  <w:vAlign w:val="center"/>
                </w:tcPr>
                <w:p>
                  <w:pPr>
                    <w:topLinePunct/>
                    <w:adjustRightInd w:val="0"/>
                    <w:snapToGrid w:val="0"/>
                    <w:jc w:val="center"/>
                    <w:rPr>
                      <w:b/>
                      <w:bCs/>
                    </w:rPr>
                  </w:pPr>
                  <w:r>
                    <w:rPr>
                      <w:rFonts w:hint="eastAsia"/>
                      <w:b/>
                      <w:bCs/>
                    </w:rPr>
                    <w:t>危险</w:t>
                  </w:r>
                </w:p>
                <w:p>
                  <w:pPr>
                    <w:topLinePunct/>
                    <w:adjustRightInd w:val="0"/>
                    <w:snapToGrid w:val="0"/>
                    <w:jc w:val="center"/>
                    <w:rPr>
                      <w:b/>
                      <w:bCs/>
                    </w:rPr>
                  </w:pPr>
                  <w:r>
                    <w:rPr>
                      <w:rFonts w:hint="eastAsia"/>
                      <w:b/>
                      <w:bCs/>
                    </w:rPr>
                    <w:t>特性</w:t>
                  </w:r>
                </w:p>
              </w:tc>
              <w:tc>
                <w:tcPr>
                  <w:tcW w:w="669" w:type="dxa"/>
                  <w:tcBorders>
                    <w:top w:val="single" w:color="auto" w:sz="12" w:space="0"/>
                    <w:bottom w:val="single" w:color="auto" w:sz="4" w:space="0"/>
                    <w:right w:val="nil"/>
                  </w:tcBorders>
                  <w:vAlign w:val="center"/>
                </w:tcPr>
                <w:p>
                  <w:pPr>
                    <w:topLinePunct/>
                    <w:adjustRightInd w:val="0"/>
                    <w:snapToGrid w:val="0"/>
                    <w:jc w:val="center"/>
                    <w:rPr>
                      <w:b/>
                      <w:bCs/>
                    </w:rPr>
                  </w:pPr>
                  <w:r>
                    <w:rPr>
                      <w:rFonts w:hint="eastAsia"/>
                      <w:b/>
                      <w:bCs/>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top w:val="single" w:color="auto" w:sz="4" w:space="0"/>
                    <w:left w:val="nil"/>
                  </w:tcBorders>
                  <w:vAlign w:val="center"/>
                </w:tcPr>
                <w:p>
                  <w:pPr>
                    <w:topLinePunct/>
                    <w:adjustRightInd w:val="0"/>
                    <w:snapToGrid w:val="0"/>
                    <w:jc w:val="center"/>
                    <w:rPr>
                      <w:rFonts w:hint="eastAsia" w:eastAsiaTheme="minorEastAsia"/>
                      <w:b/>
                      <w:bCs/>
                      <w:lang w:val="en-US" w:eastAsia="zh-CN"/>
                    </w:rPr>
                  </w:pPr>
                  <w:r>
                    <w:rPr>
                      <w:rFonts w:hint="eastAsia"/>
                      <w:lang w:val="en-US" w:eastAsia="zh-CN"/>
                    </w:rPr>
                    <w:t>1</w:t>
                  </w:r>
                </w:p>
              </w:tc>
              <w:tc>
                <w:tcPr>
                  <w:tcW w:w="668" w:type="dxa"/>
                  <w:tcBorders>
                    <w:top w:val="single" w:color="auto" w:sz="4" w:space="0"/>
                  </w:tcBorders>
                  <w:vAlign w:val="center"/>
                </w:tcPr>
                <w:p>
                  <w:pPr>
                    <w:jc w:val="center"/>
                    <w:rPr>
                      <w:rFonts w:hint="eastAsia"/>
                      <w:b/>
                      <w:bCs/>
                    </w:rPr>
                  </w:pPr>
                  <w:r>
                    <w:rPr>
                      <w:rFonts w:ascii="宋体" w:hAnsi="宋体"/>
                      <w:bCs/>
                      <w:iCs/>
                      <w:szCs w:val="21"/>
                    </w:rPr>
                    <w:t>废蓄电池</w:t>
                  </w:r>
                </w:p>
              </w:tc>
              <w:tc>
                <w:tcPr>
                  <w:tcW w:w="6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rPr>
                  </w:pPr>
                  <w:r>
                    <w:rPr>
                      <w:rFonts w:hint="eastAsia"/>
                    </w:rPr>
                    <w:t>HW31含铅废物</w:t>
                  </w:r>
                </w:p>
              </w:tc>
              <w:tc>
                <w:tcPr>
                  <w:tcW w:w="6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rPr>
                  </w:pPr>
                  <w:r>
                    <w:t>900-052-31</w:t>
                  </w:r>
                </w:p>
              </w:tc>
              <w:tc>
                <w:tcPr>
                  <w:tcW w:w="6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eastAsiaTheme="minorEastAsia"/>
                      <w:lang w:val="en-US" w:eastAsia="zh-CN"/>
                    </w:rPr>
                  </w:pPr>
                  <w:r>
                    <w:rPr>
                      <w:rFonts w:hint="eastAsia"/>
                      <w:lang w:val="en-US" w:eastAsia="zh-CN"/>
                    </w:rPr>
                    <w:t>100</w:t>
                  </w:r>
                </w:p>
              </w:tc>
              <w:tc>
                <w:tcPr>
                  <w:tcW w:w="668" w:type="dxa"/>
                  <w:tcBorders>
                    <w:top w:val="single" w:color="auto" w:sz="4" w:space="0"/>
                  </w:tcBorders>
                  <w:vAlign w:val="center"/>
                </w:tcPr>
                <w:p>
                  <w:pPr>
                    <w:topLinePunct/>
                    <w:adjustRightInd w:val="0"/>
                    <w:snapToGrid w:val="0"/>
                    <w:jc w:val="center"/>
                    <w:rPr>
                      <w:rFonts w:ascii="宋体" w:hAnsi="宋体"/>
                      <w:kern w:val="0"/>
                      <w:szCs w:val="21"/>
                    </w:rPr>
                  </w:pPr>
                  <w:r>
                    <w:rPr>
                      <w:rFonts w:ascii="宋体" w:hAnsi="宋体"/>
                      <w:kern w:val="0"/>
                      <w:szCs w:val="21"/>
                    </w:rPr>
                    <w:t>预</w:t>
                  </w:r>
                </w:p>
                <w:p>
                  <w:pPr>
                    <w:topLinePunct/>
                    <w:adjustRightInd w:val="0"/>
                    <w:snapToGrid w:val="0"/>
                    <w:jc w:val="center"/>
                    <w:rPr>
                      <w:rFonts w:ascii="宋体" w:hAnsi="宋体"/>
                      <w:kern w:val="0"/>
                      <w:szCs w:val="21"/>
                    </w:rPr>
                  </w:pPr>
                  <w:r>
                    <w:rPr>
                      <w:rFonts w:ascii="宋体" w:hAnsi="宋体"/>
                      <w:kern w:val="0"/>
                      <w:szCs w:val="21"/>
                    </w:rPr>
                    <w:t>拆</w:t>
                  </w:r>
                </w:p>
                <w:p>
                  <w:pPr>
                    <w:topLinePunct/>
                    <w:adjustRightInd w:val="0"/>
                    <w:snapToGrid w:val="0"/>
                    <w:jc w:val="center"/>
                    <w:rPr>
                      <w:rFonts w:hint="eastAsia"/>
                      <w:b/>
                      <w:bCs/>
                    </w:rPr>
                  </w:pPr>
                  <w:r>
                    <w:rPr>
                      <w:rFonts w:ascii="宋体" w:hAnsi="宋体"/>
                      <w:kern w:val="0"/>
                      <w:szCs w:val="21"/>
                    </w:rPr>
                    <w:t>解</w:t>
                  </w:r>
                </w:p>
              </w:tc>
              <w:tc>
                <w:tcPr>
                  <w:tcW w:w="668" w:type="dxa"/>
                  <w:tcBorders>
                    <w:top w:val="single" w:color="auto" w:sz="4" w:space="0"/>
                  </w:tcBorders>
                  <w:vAlign w:val="center"/>
                </w:tcPr>
                <w:p>
                  <w:pPr>
                    <w:topLinePunct/>
                    <w:adjustRightInd w:val="0"/>
                    <w:snapToGrid w:val="0"/>
                    <w:jc w:val="center"/>
                    <w:rPr>
                      <w:rFonts w:hint="eastAsia"/>
                      <w:b/>
                      <w:bCs/>
                    </w:rPr>
                  </w:pPr>
                  <w:r>
                    <w:rPr>
                      <w:rFonts w:ascii="宋体" w:hAnsi="宋体"/>
                      <w:kern w:val="0"/>
                      <w:szCs w:val="21"/>
                    </w:rPr>
                    <w:t>固态</w:t>
                  </w:r>
                </w:p>
              </w:tc>
              <w:tc>
                <w:tcPr>
                  <w:tcW w:w="668" w:type="dxa"/>
                  <w:tcBorders>
                    <w:top w:val="single" w:color="auto" w:sz="4" w:space="0"/>
                  </w:tcBorders>
                  <w:vAlign w:val="center"/>
                </w:tcPr>
                <w:p>
                  <w:pPr>
                    <w:topLinePunct/>
                    <w:adjustRightInd w:val="0"/>
                    <w:snapToGrid w:val="0"/>
                    <w:jc w:val="center"/>
                    <w:rPr>
                      <w:rFonts w:hint="eastAsia"/>
                      <w:b/>
                      <w:bCs/>
                    </w:rPr>
                  </w:pPr>
                  <w:r>
                    <w:rPr>
                      <w:rFonts w:hint="eastAsia" w:ascii="宋体" w:hAnsi="宋体"/>
                      <w:kern w:val="0"/>
                      <w:szCs w:val="21"/>
                    </w:rPr>
                    <w:t>电解液</w:t>
                  </w:r>
                </w:p>
              </w:tc>
              <w:tc>
                <w:tcPr>
                  <w:tcW w:w="668" w:type="dxa"/>
                  <w:tcBorders>
                    <w:top w:val="single" w:color="auto" w:sz="4" w:space="0"/>
                  </w:tcBorders>
                  <w:vAlign w:val="center"/>
                </w:tcPr>
                <w:p>
                  <w:pPr>
                    <w:snapToGrid w:val="0"/>
                    <w:jc w:val="center"/>
                    <w:rPr>
                      <w:rFonts w:hint="eastAsia"/>
                      <w:b/>
                      <w:bCs/>
                    </w:rPr>
                  </w:pPr>
                  <w:r>
                    <w:rPr>
                      <w:rFonts w:hint="eastAsia" w:ascii="宋体" w:hAnsi="宋体"/>
                      <w:szCs w:val="21"/>
                    </w:rPr>
                    <w:t>含铅电解液</w:t>
                  </w:r>
                </w:p>
              </w:tc>
              <w:tc>
                <w:tcPr>
                  <w:tcW w:w="668" w:type="dxa"/>
                  <w:vMerge w:val="restart"/>
                  <w:tcBorders>
                    <w:top w:val="single" w:color="auto" w:sz="4" w:space="0"/>
                  </w:tcBorders>
                  <w:vAlign w:val="center"/>
                </w:tcPr>
                <w:p>
                  <w:pPr>
                    <w:topLinePunct/>
                    <w:adjustRightInd w:val="0"/>
                    <w:snapToGrid w:val="0"/>
                    <w:jc w:val="center"/>
                    <w:rPr>
                      <w:rFonts w:hint="eastAsia"/>
                      <w:b/>
                      <w:bCs/>
                    </w:rPr>
                  </w:pPr>
                </w:p>
              </w:tc>
              <w:tc>
                <w:tcPr>
                  <w:tcW w:w="669" w:type="dxa"/>
                  <w:tcBorders>
                    <w:top w:val="single" w:color="auto" w:sz="4" w:space="0"/>
                  </w:tcBorders>
                  <w:vAlign w:val="center"/>
                </w:tcPr>
                <w:p>
                  <w:pPr>
                    <w:topLinePunct/>
                    <w:adjustRightInd w:val="0"/>
                    <w:snapToGrid w:val="0"/>
                    <w:jc w:val="center"/>
                    <w:rPr>
                      <w:rFonts w:hint="eastAsia"/>
                      <w:b/>
                      <w:bCs/>
                    </w:rPr>
                  </w:pPr>
                  <w:r>
                    <w:rPr>
                      <w:rFonts w:hint="eastAsia" w:ascii="宋体" w:hAnsi="宋体"/>
                      <w:szCs w:val="21"/>
                    </w:rPr>
                    <w:t>T，C</w:t>
                  </w:r>
                </w:p>
              </w:tc>
              <w:tc>
                <w:tcPr>
                  <w:tcW w:w="669" w:type="dxa"/>
                  <w:vMerge w:val="restart"/>
                  <w:tcBorders>
                    <w:top w:val="single" w:color="auto" w:sz="4" w:space="0"/>
                    <w:right w:val="nil"/>
                  </w:tcBorders>
                  <w:vAlign w:val="center"/>
                </w:tcPr>
                <w:p>
                  <w:pPr>
                    <w:topLinePunct/>
                    <w:adjustRightInd w:val="0"/>
                    <w:snapToGrid w:val="0"/>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top w:val="single" w:color="auto" w:sz="4" w:space="0"/>
                    <w:left w:val="nil"/>
                  </w:tcBorders>
                  <w:vAlign w:val="center"/>
                </w:tcPr>
                <w:p>
                  <w:pPr>
                    <w:topLinePunct/>
                    <w:adjustRightInd w:val="0"/>
                    <w:snapToGrid w:val="0"/>
                    <w:jc w:val="center"/>
                  </w:pPr>
                  <w:r>
                    <w:rPr>
                      <w:rFonts w:hint="eastAsia"/>
                    </w:rPr>
                    <w:t>2</w:t>
                  </w:r>
                </w:p>
              </w:tc>
              <w:tc>
                <w:tcPr>
                  <w:tcW w:w="668" w:type="dxa"/>
                  <w:tcBorders>
                    <w:top w:val="single" w:color="auto" w:sz="4" w:space="0"/>
                  </w:tcBorders>
                  <w:vAlign w:val="center"/>
                </w:tcPr>
                <w:p>
                  <w:pPr>
                    <w:jc w:val="center"/>
                  </w:pPr>
                  <w:r>
                    <w:t>废</w:t>
                  </w:r>
                </w:p>
                <w:p>
                  <w:pPr>
                    <w:jc w:val="center"/>
                  </w:pPr>
                  <w:r>
                    <w:t>油</w:t>
                  </w:r>
                </w:p>
                <w:p>
                  <w:pPr>
                    <w:jc w:val="center"/>
                  </w:pPr>
                  <w:r>
                    <w:t>液</w:t>
                  </w:r>
                </w:p>
              </w:tc>
              <w:tc>
                <w:tcPr>
                  <w:tcW w:w="668" w:type="dxa"/>
                  <w:tcBorders>
                    <w:top w:val="single" w:color="auto" w:sz="4" w:space="0"/>
                  </w:tcBorders>
                  <w:vAlign w:val="center"/>
                </w:tcPr>
                <w:p>
                  <w:pPr>
                    <w:snapToGrid w:val="0"/>
                    <w:jc w:val="center"/>
                  </w:pPr>
                  <w:r>
                    <w:rPr>
                      <w:rFonts w:hint="eastAsia"/>
                    </w:rPr>
                    <w:t>HW08废矿物油与含矿物油废物</w:t>
                  </w:r>
                </w:p>
              </w:tc>
              <w:tc>
                <w:tcPr>
                  <w:tcW w:w="6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pPr>
                  <w:r>
                    <w:t>900-199-08</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pPr>
                  <w:r>
                    <w:t>900-214-08</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pPr>
                  <w:r>
                    <w:t>900-249-08</w:t>
                  </w:r>
                </w:p>
              </w:tc>
              <w:tc>
                <w:tcPr>
                  <w:tcW w:w="668" w:type="dxa"/>
                  <w:tcBorders>
                    <w:top w:val="single" w:color="auto" w:sz="4" w:space="0"/>
                  </w:tcBorders>
                  <w:vAlign w:val="center"/>
                </w:tcPr>
                <w:p>
                  <w:pPr>
                    <w:topLinePunct/>
                    <w:adjustRightInd w:val="0"/>
                    <w:snapToGrid w:val="0"/>
                    <w:jc w:val="center"/>
                  </w:pPr>
                  <w:r>
                    <w:rPr>
                      <w:rFonts w:hint="eastAsia"/>
                    </w:rPr>
                    <w:t>55</w:t>
                  </w:r>
                </w:p>
              </w:tc>
              <w:tc>
                <w:tcPr>
                  <w:tcW w:w="668" w:type="dxa"/>
                  <w:tcBorders>
                    <w:top w:val="single" w:color="auto" w:sz="4" w:space="0"/>
                  </w:tcBorders>
                  <w:vAlign w:val="center"/>
                </w:tcPr>
                <w:p>
                  <w:pPr>
                    <w:topLinePunct/>
                    <w:adjustRightInd w:val="0"/>
                    <w:snapToGrid w:val="0"/>
                    <w:jc w:val="center"/>
                  </w:pPr>
                  <w:r>
                    <w:t>预</w:t>
                  </w:r>
                </w:p>
                <w:p>
                  <w:pPr>
                    <w:topLinePunct/>
                    <w:adjustRightInd w:val="0"/>
                    <w:snapToGrid w:val="0"/>
                    <w:jc w:val="center"/>
                  </w:pPr>
                  <w:r>
                    <w:t>拆</w:t>
                  </w:r>
                </w:p>
                <w:p>
                  <w:pPr>
                    <w:topLinePunct/>
                    <w:adjustRightInd w:val="0"/>
                    <w:snapToGrid w:val="0"/>
                    <w:jc w:val="center"/>
                  </w:pPr>
                  <w:r>
                    <w:t>解</w:t>
                  </w:r>
                </w:p>
              </w:tc>
              <w:tc>
                <w:tcPr>
                  <w:tcW w:w="668" w:type="dxa"/>
                  <w:tcBorders>
                    <w:top w:val="single" w:color="auto" w:sz="4" w:space="0"/>
                  </w:tcBorders>
                  <w:vAlign w:val="center"/>
                </w:tcPr>
                <w:p>
                  <w:pPr>
                    <w:topLinePunct/>
                    <w:adjustRightInd w:val="0"/>
                    <w:snapToGrid w:val="0"/>
                    <w:jc w:val="center"/>
                  </w:pPr>
                  <w:r>
                    <w:t>液态</w:t>
                  </w:r>
                </w:p>
              </w:tc>
              <w:tc>
                <w:tcPr>
                  <w:tcW w:w="668" w:type="dxa"/>
                  <w:tcBorders>
                    <w:top w:val="single" w:color="auto" w:sz="4" w:space="0"/>
                  </w:tcBorders>
                  <w:vAlign w:val="center"/>
                </w:tcPr>
                <w:p>
                  <w:pPr>
                    <w:topLinePunct/>
                    <w:adjustRightInd w:val="0"/>
                    <w:snapToGrid w:val="0"/>
                    <w:jc w:val="center"/>
                  </w:pPr>
                  <w:r>
                    <w:rPr>
                      <w:rFonts w:hint="eastAsia"/>
                    </w:rPr>
                    <w:t>废矿物油</w:t>
                  </w:r>
                </w:p>
              </w:tc>
              <w:tc>
                <w:tcPr>
                  <w:tcW w:w="668" w:type="dxa"/>
                  <w:tcBorders>
                    <w:top w:val="single" w:color="auto" w:sz="4" w:space="0"/>
                  </w:tcBorders>
                  <w:vAlign w:val="center"/>
                </w:tcPr>
                <w:p>
                  <w:pPr>
                    <w:snapToGrid w:val="0"/>
                    <w:jc w:val="center"/>
                  </w:pPr>
                  <w:r>
                    <w:rPr>
                      <w:rFonts w:hint="eastAsia"/>
                    </w:rPr>
                    <w:t>废矿物油</w:t>
                  </w:r>
                </w:p>
              </w:tc>
              <w:tc>
                <w:tcPr>
                  <w:tcW w:w="668" w:type="dxa"/>
                  <w:vMerge w:val="continue"/>
                </w:tcPr>
                <w:p>
                  <w:pPr>
                    <w:pStyle w:val="3"/>
                    <w:spacing w:before="62" w:after="62"/>
                  </w:pPr>
                </w:p>
              </w:tc>
              <w:tc>
                <w:tcPr>
                  <w:tcW w:w="669" w:type="dxa"/>
                  <w:tcBorders>
                    <w:top w:val="single" w:color="auto" w:sz="4" w:space="0"/>
                  </w:tcBorders>
                  <w:vAlign w:val="center"/>
                </w:tcPr>
                <w:p>
                  <w:pPr>
                    <w:topLinePunct/>
                    <w:adjustRightInd w:val="0"/>
                    <w:snapToGrid w:val="0"/>
                    <w:jc w:val="center"/>
                  </w:pPr>
                  <w:r>
                    <w:rPr>
                      <w:rFonts w:hint="eastAsia"/>
                    </w:rPr>
                    <w:t>T，I</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left w:val="nil"/>
                  </w:tcBorders>
                  <w:vAlign w:val="center"/>
                </w:tcPr>
                <w:p>
                  <w:pPr>
                    <w:topLinePunct/>
                    <w:adjustRightInd w:val="0"/>
                    <w:snapToGrid w:val="0"/>
                    <w:jc w:val="center"/>
                  </w:pPr>
                  <w:r>
                    <w:rPr>
                      <w:rFonts w:hint="eastAsia"/>
                    </w:rPr>
                    <w:t>3</w:t>
                  </w:r>
                </w:p>
              </w:tc>
              <w:tc>
                <w:tcPr>
                  <w:tcW w:w="668" w:type="dxa"/>
                  <w:vAlign w:val="center"/>
                </w:tcPr>
                <w:p>
                  <w:pPr>
                    <w:jc w:val="center"/>
                  </w:pPr>
                  <w:r>
                    <w:t>废尾气净化装置</w:t>
                  </w:r>
                </w:p>
              </w:tc>
              <w:tc>
                <w:tcPr>
                  <w:tcW w:w="668" w:type="dxa"/>
                  <w:vAlign w:val="center"/>
                </w:tcPr>
                <w:p>
                  <w:pPr>
                    <w:spacing w:line="320" w:lineRule="exact"/>
                    <w:jc w:val="center"/>
                  </w:pPr>
                  <w:r>
                    <w:rPr>
                      <w:rFonts w:hint="eastAsia"/>
                    </w:rPr>
                    <w:t>HW49其他废物</w:t>
                  </w:r>
                </w:p>
              </w:tc>
              <w:tc>
                <w:tcPr>
                  <w:tcW w:w="668" w:type="dxa"/>
                  <w:vAlign w:val="center"/>
                </w:tcPr>
                <w:p>
                  <w:pPr>
                    <w:spacing w:line="320" w:lineRule="exact"/>
                    <w:jc w:val="center"/>
                  </w:pPr>
                  <w:r>
                    <w:rPr>
                      <w:rFonts w:hint="eastAsia"/>
                    </w:rPr>
                    <w:t>900-041-49</w:t>
                  </w:r>
                </w:p>
              </w:tc>
              <w:tc>
                <w:tcPr>
                  <w:tcW w:w="668" w:type="dxa"/>
                  <w:vAlign w:val="center"/>
                </w:tcPr>
                <w:p>
                  <w:pPr>
                    <w:jc w:val="center"/>
                    <w:rPr>
                      <w:rFonts w:hint="default" w:eastAsiaTheme="minorEastAsia"/>
                      <w:lang w:val="en-US" w:eastAsia="zh-CN"/>
                    </w:rPr>
                  </w:pPr>
                  <w:r>
                    <w:rPr>
                      <w:rFonts w:hint="eastAsia"/>
                    </w:rPr>
                    <w:t>5</w:t>
                  </w:r>
                  <w:r>
                    <w:rPr>
                      <w:rFonts w:hint="eastAsia"/>
                      <w:lang w:val="en-US" w:eastAsia="zh-CN"/>
                    </w:rPr>
                    <w:t>.5</w:t>
                  </w:r>
                </w:p>
              </w:tc>
              <w:tc>
                <w:tcPr>
                  <w:tcW w:w="668" w:type="dxa"/>
                  <w:vAlign w:val="center"/>
                </w:tcPr>
                <w:p>
                  <w:pPr>
                    <w:topLinePunct/>
                    <w:adjustRightInd w:val="0"/>
                    <w:snapToGrid w:val="0"/>
                    <w:jc w:val="center"/>
                  </w:pPr>
                  <w:r>
                    <w:t>解体拆解</w:t>
                  </w:r>
                </w:p>
              </w:tc>
              <w:tc>
                <w:tcPr>
                  <w:tcW w:w="668" w:type="dxa"/>
                  <w:vAlign w:val="center"/>
                </w:tcPr>
                <w:p>
                  <w:pPr>
                    <w:topLinePunct/>
                    <w:adjustRightInd w:val="0"/>
                    <w:snapToGrid w:val="0"/>
                    <w:jc w:val="center"/>
                  </w:pPr>
                  <w:r>
                    <w:t>固态</w:t>
                  </w:r>
                </w:p>
              </w:tc>
              <w:tc>
                <w:tcPr>
                  <w:tcW w:w="668" w:type="dxa"/>
                  <w:vAlign w:val="center"/>
                </w:tcPr>
                <w:p>
                  <w:pPr>
                    <w:topLinePunct/>
                    <w:adjustRightInd w:val="0"/>
                    <w:snapToGrid w:val="0"/>
                    <w:jc w:val="center"/>
                  </w:pPr>
                  <w:r>
                    <w:rPr>
                      <w:rFonts w:hint="eastAsia"/>
                    </w:rPr>
                    <w:t>净化装置</w:t>
                  </w:r>
                </w:p>
              </w:tc>
              <w:tc>
                <w:tcPr>
                  <w:tcW w:w="668" w:type="dxa"/>
                  <w:vAlign w:val="center"/>
                </w:tcPr>
                <w:p>
                  <w:pPr>
                    <w:snapToGrid w:val="0"/>
                    <w:jc w:val="center"/>
                  </w:pPr>
                  <w:r>
                    <w:rPr>
                      <w:rFonts w:hint="eastAsia"/>
                    </w:rPr>
                    <w:t>毒性废物</w:t>
                  </w:r>
                </w:p>
              </w:tc>
              <w:tc>
                <w:tcPr>
                  <w:tcW w:w="668" w:type="dxa"/>
                  <w:vMerge w:val="continue"/>
                </w:tcPr>
                <w:p>
                  <w:pPr>
                    <w:pStyle w:val="3"/>
                    <w:spacing w:before="62" w:after="62"/>
                  </w:pPr>
                </w:p>
              </w:tc>
              <w:tc>
                <w:tcPr>
                  <w:tcW w:w="669" w:type="dxa"/>
                  <w:vAlign w:val="center"/>
                </w:tcPr>
                <w:p>
                  <w:pPr>
                    <w:topLinePunct/>
                    <w:adjustRightInd w:val="0"/>
                    <w:snapToGrid w:val="0"/>
                    <w:jc w:val="center"/>
                  </w:pPr>
                  <w:r>
                    <w:rPr>
                      <w:rFonts w:hint="eastAsia"/>
                    </w:rPr>
                    <w:t>T</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left w:val="nil"/>
                  </w:tcBorders>
                  <w:vAlign w:val="center"/>
                </w:tcPr>
                <w:p>
                  <w:pPr>
                    <w:topLinePunct/>
                    <w:adjustRightInd w:val="0"/>
                    <w:snapToGrid w:val="0"/>
                    <w:jc w:val="center"/>
                  </w:pPr>
                  <w:r>
                    <w:rPr>
                      <w:rFonts w:hint="eastAsia"/>
                    </w:rPr>
                    <w:t>4</w:t>
                  </w:r>
                </w:p>
              </w:tc>
              <w:tc>
                <w:tcPr>
                  <w:tcW w:w="668" w:type="dxa"/>
                  <w:vAlign w:val="center"/>
                </w:tcPr>
                <w:p>
                  <w:pPr>
                    <w:jc w:val="center"/>
                  </w:pPr>
                  <w:r>
                    <w:t>废机油滤清器</w:t>
                  </w:r>
                </w:p>
              </w:tc>
              <w:tc>
                <w:tcPr>
                  <w:tcW w:w="668" w:type="dxa"/>
                  <w:vAlign w:val="center"/>
                </w:tcPr>
                <w:p>
                  <w:pPr>
                    <w:spacing w:line="320" w:lineRule="exact"/>
                    <w:jc w:val="center"/>
                  </w:pPr>
                  <w:r>
                    <w:rPr>
                      <w:rFonts w:hint="eastAsia"/>
                    </w:rPr>
                    <w:t>HW49其他废物</w:t>
                  </w:r>
                </w:p>
              </w:tc>
              <w:tc>
                <w:tcPr>
                  <w:tcW w:w="668" w:type="dxa"/>
                  <w:vAlign w:val="center"/>
                </w:tcPr>
                <w:p>
                  <w:pPr>
                    <w:spacing w:line="320" w:lineRule="exact"/>
                    <w:jc w:val="center"/>
                  </w:pPr>
                  <w:r>
                    <w:rPr>
                      <w:rFonts w:hint="eastAsia"/>
                    </w:rPr>
                    <w:t>900-041-49</w:t>
                  </w:r>
                </w:p>
              </w:tc>
              <w:tc>
                <w:tcPr>
                  <w:tcW w:w="668" w:type="dxa"/>
                  <w:vAlign w:val="center"/>
                </w:tcPr>
                <w:p>
                  <w:pPr>
                    <w:jc w:val="center"/>
                  </w:pPr>
                  <w:r>
                    <w:rPr>
                      <w:rFonts w:hint="eastAsia"/>
                      <w:lang w:val="en-US" w:eastAsia="zh-CN"/>
                    </w:rPr>
                    <w:t>8.</w:t>
                  </w:r>
                  <w:r>
                    <w:rPr>
                      <w:rFonts w:hint="eastAsia"/>
                    </w:rPr>
                    <w:t>5</w:t>
                  </w:r>
                </w:p>
              </w:tc>
              <w:tc>
                <w:tcPr>
                  <w:tcW w:w="668" w:type="dxa"/>
                  <w:vAlign w:val="center"/>
                </w:tcPr>
                <w:p>
                  <w:pPr>
                    <w:topLinePunct/>
                    <w:adjustRightInd w:val="0"/>
                    <w:snapToGrid w:val="0"/>
                    <w:jc w:val="center"/>
                  </w:pPr>
                  <w:r>
                    <w:t>解体拆解</w:t>
                  </w:r>
                </w:p>
              </w:tc>
              <w:tc>
                <w:tcPr>
                  <w:tcW w:w="668" w:type="dxa"/>
                  <w:vAlign w:val="center"/>
                </w:tcPr>
                <w:p>
                  <w:pPr>
                    <w:topLinePunct/>
                    <w:adjustRightInd w:val="0"/>
                    <w:snapToGrid w:val="0"/>
                    <w:jc w:val="center"/>
                  </w:pPr>
                  <w:r>
                    <w:t>固态</w:t>
                  </w:r>
                </w:p>
              </w:tc>
              <w:tc>
                <w:tcPr>
                  <w:tcW w:w="668" w:type="dxa"/>
                  <w:vAlign w:val="center"/>
                </w:tcPr>
                <w:p>
                  <w:pPr>
                    <w:topLinePunct/>
                    <w:adjustRightInd w:val="0"/>
                    <w:snapToGrid w:val="0"/>
                    <w:jc w:val="center"/>
                  </w:pPr>
                  <w:r>
                    <w:rPr>
                      <w:rFonts w:hint="eastAsia"/>
                    </w:rPr>
                    <w:t>滤清器</w:t>
                  </w:r>
                </w:p>
              </w:tc>
              <w:tc>
                <w:tcPr>
                  <w:tcW w:w="668" w:type="dxa"/>
                  <w:vAlign w:val="center"/>
                </w:tcPr>
                <w:p>
                  <w:pPr>
                    <w:snapToGrid w:val="0"/>
                    <w:jc w:val="center"/>
                  </w:pPr>
                  <w:r>
                    <w:rPr>
                      <w:rFonts w:hint="eastAsia"/>
                    </w:rPr>
                    <w:t>毒性废物</w:t>
                  </w:r>
                </w:p>
              </w:tc>
              <w:tc>
                <w:tcPr>
                  <w:tcW w:w="668" w:type="dxa"/>
                  <w:vMerge w:val="continue"/>
                </w:tcPr>
                <w:p>
                  <w:pPr>
                    <w:pStyle w:val="3"/>
                    <w:spacing w:before="62" w:after="62"/>
                  </w:pPr>
                </w:p>
              </w:tc>
              <w:tc>
                <w:tcPr>
                  <w:tcW w:w="669" w:type="dxa"/>
                  <w:vAlign w:val="center"/>
                </w:tcPr>
                <w:p>
                  <w:pPr>
                    <w:topLinePunct/>
                    <w:adjustRightInd w:val="0"/>
                    <w:snapToGrid w:val="0"/>
                    <w:jc w:val="center"/>
                  </w:pPr>
                  <w:r>
                    <w:rPr>
                      <w:rFonts w:hint="eastAsia"/>
                    </w:rPr>
                    <w:t>T</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left w:val="nil"/>
                  </w:tcBorders>
                  <w:vAlign w:val="center"/>
                </w:tcPr>
                <w:p>
                  <w:pPr>
                    <w:topLinePunct/>
                    <w:adjustRightInd w:val="0"/>
                    <w:snapToGrid w:val="0"/>
                    <w:jc w:val="center"/>
                  </w:pPr>
                  <w:r>
                    <w:rPr>
                      <w:rFonts w:hint="eastAsia"/>
                    </w:rPr>
                    <w:t>5</w:t>
                  </w:r>
                </w:p>
              </w:tc>
              <w:tc>
                <w:tcPr>
                  <w:tcW w:w="668" w:type="dxa"/>
                  <w:vAlign w:val="center"/>
                </w:tcPr>
                <w:p>
                  <w:pPr>
                    <w:jc w:val="center"/>
                  </w:pPr>
                  <w:r>
                    <w:t>废含汞开关</w:t>
                  </w:r>
                  <w:r>
                    <w:rPr>
                      <w:rFonts w:hint="eastAsia"/>
                    </w:rPr>
                    <w:t>、</w:t>
                  </w:r>
                  <w:r>
                    <w:t>电路板</w:t>
                  </w:r>
                </w:p>
              </w:tc>
              <w:tc>
                <w:tcPr>
                  <w:tcW w:w="668" w:type="dxa"/>
                  <w:vAlign w:val="center"/>
                </w:tcPr>
                <w:p>
                  <w:pPr>
                    <w:spacing w:line="320" w:lineRule="exact"/>
                    <w:jc w:val="center"/>
                  </w:pPr>
                  <w:r>
                    <w:rPr>
                      <w:rFonts w:hint="eastAsia"/>
                    </w:rPr>
                    <w:t>HW49其他废物</w:t>
                  </w:r>
                </w:p>
              </w:tc>
              <w:tc>
                <w:tcPr>
                  <w:tcW w:w="668" w:type="dxa"/>
                  <w:vAlign w:val="center"/>
                </w:tcPr>
                <w:p>
                  <w:pPr>
                    <w:spacing w:line="320" w:lineRule="exact"/>
                    <w:jc w:val="center"/>
                  </w:pPr>
                  <w:r>
                    <w:rPr>
                      <w:rFonts w:hint="eastAsia"/>
                    </w:rPr>
                    <w:t>900-045-49</w:t>
                  </w:r>
                </w:p>
              </w:tc>
              <w:tc>
                <w:tcPr>
                  <w:tcW w:w="668" w:type="dxa"/>
                  <w:vAlign w:val="center"/>
                </w:tcPr>
                <w:p>
                  <w:pPr>
                    <w:jc w:val="center"/>
                  </w:pPr>
                  <w:r>
                    <w:rPr>
                      <w:rFonts w:hint="eastAsia"/>
                      <w:lang w:val="en-US" w:eastAsia="zh-CN"/>
                    </w:rPr>
                    <w:t>7.</w:t>
                  </w:r>
                  <w:r>
                    <w:rPr>
                      <w:rFonts w:hint="eastAsia"/>
                    </w:rPr>
                    <w:t>5</w:t>
                  </w:r>
                </w:p>
              </w:tc>
              <w:tc>
                <w:tcPr>
                  <w:tcW w:w="668" w:type="dxa"/>
                  <w:vAlign w:val="center"/>
                </w:tcPr>
                <w:p>
                  <w:pPr>
                    <w:topLinePunct/>
                    <w:adjustRightInd w:val="0"/>
                    <w:snapToGrid w:val="0"/>
                    <w:jc w:val="center"/>
                  </w:pPr>
                  <w:r>
                    <w:t>解体拆解</w:t>
                  </w:r>
                </w:p>
              </w:tc>
              <w:tc>
                <w:tcPr>
                  <w:tcW w:w="668" w:type="dxa"/>
                  <w:vAlign w:val="center"/>
                </w:tcPr>
                <w:p>
                  <w:pPr>
                    <w:topLinePunct/>
                    <w:adjustRightInd w:val="0"/>
                    <w:snapToGrid w:val="0"/>
                    <w:jc w:val="center"/>
                  </w:pPr>
                  <w:r>
                    <w:t>固态</w:t>
                  </w:r>
                </w:p>
              </w:tc>
              <w:tc>
                <w:tcPr>
                  <w:tcW w:w="668" w:type="dxa"/>
                  <w:vAlign w:val="center"/>
                </w:tcPr>
                <w:p>
                  <w:pPr>
                    <w:topLinePunct/>
                    <w:adjustRightInd w:val="0"/>
                    <w:snapToGrid w:val="0"/>
                    <w:jc w:val="center"/>
                  </w:pPr>
                  <w:r>
                    <w:rPr>
                      <w:rFonts w:hint="eastAsia"/>
                    </w:rPr>
                    <w:t>电路板</w:t>
                  </w:r>
                </w:p>
              </w:tc>
              <w:tc>
                <w:tcPr>
                  <w:tcW w:w="668" w:type="dxa"/>
                  <w:vAlign w:val="center"/>
                </w:tcPr>
                <w:p>
                  <w:pPr>
                    <w:snapToGrid w:val="0"/>
                    <w:jc w:val="center"/>
                  </w:pPr>
                  <w:r>
                    <w:rPr>
                      <w:rFonts w:hint="eastAsia"/>
                    </w:rPr>
                    <w:t>汞</w:t>
                  </w:r>
                </w:p>
              </w:tc>
              <w:tc>
                <w:tcPr>
                  <w:tcW w:w="668" w:type="dxa"/>
                  <w:vMerge w:val="continue"/>
                </w:tcPr>
                <w:p>
                  <w:pPr>
                    <w:pStyle w:val="3"/>
                    <w:spacing w:before="62" w:after="62"/>
                  </w:pPr>
                </w:p>
              </w:tc>
              <w:tc>
                <w:tcPr>
                  <w:tcW w:w="669" w:type="dxa"/>
                  <w:vAlign w:val="center"/>
                </w:tcPr>
                <w:p>
                  <w:pPr>
                    <w:topLinePunct/>
                    <w:adjustRightInd w:val="0"/>
                    <w:snapToGrid w:val="0"/>
                    <w:jc w:val="center"/>
                  </w:pPr>
                  <w:r>
                    <w:rPr>
                      <w:rFonts w:hint="eastAsia"/>
                    </w:rPr>
                    <w:t>T</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left w:val="nil"/>
                  </w:tcBorders>
                  <w:vAlign w:val="center"/>
                </w:tcPr>
                <w:p>
                  <w:pPr>
                    <w:topLinePunct/>
                    <w:adjustRightInd w:val="0"/>
                    <w:snapToGrid w:val="0"/>
                    <w:jc w:val="center"/>
                  </w:pPr>
                  <w:r>
                    <w:rPr>
                      <w:rFonts w:hint="eastAsia"/>
                    </w:rPr>
                    <w:t>6</w:t>
                  </w:r>
                </w:p>
              </w:tc>
              <w:tc>
                <w:tcPr>
                  <w:tcW w:w="668" w:type="dxa"/>
                  <w:vAlign w:val="center"/>
                </w:tcPr>
                <w:p>
                  <w:pPr>
                    <w:jc w:val="center"/>
                  </w:pPr>
                  <w:r>
                    <w:t>电</w:t>
                  </w:r>
                </w:p>
                <w:p>
                  <w:pPr>
                    <w:jc w:val="center"/>
                  </w:pPr>
                  <w:r>
                    <w:t>容</w:t>
                  </w:r>
                </w:p>
                <w:p>
                  <w:pPr>
                    <w:jc w:val="center"/>
                  </w:pPr>
                  <w:r>
                    <w:t>器</w:t>
                  </w:r>
                </w:p>
              </w:tc>
              <w:tc>
                <w:tcPr>
                  <w:tcW w:w="668" w:type="dxa"/>
                  <w:vAlign w:val="center"/>
                </w:tcPr>
                <w:p>
                  <w:pPr>
                    <w:snapToGrid w:val="0"/>
                    <w:jc w:val="center"/>
                  </w:pPr>
                  <w:r>
                    <w:rPr>
                      <w:rFonts w:hint="eastAsia"/>
                    </w:rPr>
                    <w:t>HW10多氯（溴）联苯类废物</w:t>
                  </w:r>
                </w:p>
              </w:tc>
              <w:tc>
                <w:tcPr>
                  <w:tcW w:w="668" w:type="dxa"/>
                  <w:vAlign w:val="center"/>
                </w:tcPr>
                <w:p>
                  <w:pPr>
                    <w:snapToGrid w:val="0"/>
                    <w:jc w:val="center"/>
                  </w:pPr>
                  <w:r>
                    <w:rPr>
                      <w:rFonts w:hint="eastAsia"/>
                    </w:rPr>
                    <w:t>900-008-10</w:t>
                  </w:r>
                </w:p>
              </w:tc>
              <w:tc>
                <w:tcPr>
                  <w:tcW w:w="668" w:type="dxa"/>
                  <w:vAlign w:val="center"/>
                </w:tcPr>
                <w:p>
                  <w:pPr>
                    <w:jc w:val="center"/>
                  </w:pPr>
                  <w:r>
                    <w:rPr>
                      <w:rFonts w:hint="eastAsia"/>
                      <w:lang w:val="en-US" w:eastAsia="zh-CN"/>
                    </w:rPr>
                    <w:t>6.</w:t>
                  </w:r>
                  <w:r>
                    <w:rPr>
                      <w:rFonts w:hint="eastAsia"/>
                    </w:rPr>
                    <w:t>5</w:t>
                  </w:r>
                </w:p>
              </w:tc>
              <w:tc>
                <w:tcPr>
                  <w:tcW w:w="668" w:type="dxa"/>
                  <w:vAlign w:val="center"/>
                </w:tcPr>
                <w:p>
                  <w:pPr>
                    <w:topLinePunct/>
                    <w:adjustRightInd w:val="0"/>
                    <w:snapToGrid w:val="0"/>
                    <w:jc w:val="center"/>
                  </w:pPr>
                  <w:r>
                    <w:t>解体拆解</w:t>
                  </w:r>
                </w:p>
              </w:tc>
              <w:tc>
                <w:tcPr>
                  <w:tcW w:w="668" w:type="dxa"/>
                  <w:vAlign w:val="center"/>
                </w:tcPr>
                <w:p>
                  <w:pPr>
                    <w:topLinePunct/>
                    <w:adjustRightInd w:val="0"/>
                    <w:snapToGrid w:val="0"/>
                    <w:jc w:val="center"/>
                  </w:pPr>
                  <w:r>
                    <w:t>固态</w:t>
                  </w:r>
                </w:p>
              </w:tc>
              <w:tc>
                <w:tcPr>
                  <w:tcW w:w="668" w:type="dxa"/>
                  <w:vAlign w:val="center"/>
                </w:tcPr>
                <w:p>
                  <w:pPr>
                    <w:topLinePunct/>
                    <w:adjustRightInd w:val="0"/>
                    <w:snapToGrid w:val="0"/>
                    <w:jc w:val="center"/>
                  </w:pPr>
                  <w:r>
                    <w:rPr>
                      <w:rFonts w:hint="eastAsia"/>
                    </w:rPr>
                    <w:t>电容器</w:t>
                  </w:r>
                </w:p>
              </w:tc>
              <w:tc>
                <w:tcPr>
                  <w:tcW w:w="668" w:type="dxa"/>
                  <w:vAlign w:val="center"/>
                </w:tcPr>
                <w:p>
                  <w:pPr>
                    <w:snapToGrid w:val="0"/>
                    <w:jc w:val="center"/>
                  </w:pPr>
                  <w:r>
                    <w:rPr>
                      <w:rFonts w:hint="eastAsia"/>
                    </w:rPr>
                    <w:t>多氯（溴）联苯类</w:t>
                  </w:r>
                </w:p>
              </w:tc>
              <w:tc>
                <w:tcPr>
                  <w:tcW w:w="668" w:type="dxa"/>
                  <w:vMerge w:val="continue"/>
                </w:tcPr>
                <w:p>
                  <w:pPr>
                    <w:pStyle w:val="3"/>
                    <w:spacing w:before="62" w:after="62"/>
                  </w:pPr>
                </w:p>
              </w:tc>
              <w:tc>
                <w:tcPr>
                  <w:tcW w:w="669" w:type="dxa"/>
                  <w:vAlign w:val="center"/>
                </w:tcPr>
                <w:p>
                  <w:pPr>
                    <w:topLinePunct/>
                    <w:adjustRightInd w:val="0"/>
                    <w:snapToGrid w:val="0"/>
                    <w:jc w:val="center"/>
                  </w:pPr>
                  <w:r>
                    <w:rPr>
                      <w:rFonts w:hint="eastAsia"/>
                    </w:rPr>
                    <w:t>T</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668" w:type="dxa"/>
                  <w:vMerge w:val="restart"/>
                  <w:tcBorders>
                    <w:left w:val="nil"/>
                  </w:tcBorders>
                  <w:vAlign w:val="center"/>
                </w:tcPr>
                <w:p>
                  <w:pPr>
                    <w:topLinePunct/>
                    <w:adjustRightInd w:val="0"/>
                    <w:snapToGrid w:val="0"/>
                    <w:jc w:val="center"/>
                  </w:pPr>
                  <w:r>
                    <w:rPr>
                      <w:rFonts w:hint="eastAsia"/>
                    </w:rPr>
                    <w:t>7</w:t>
                  </w:r>
                </w:p>
              </w:tc>
              <w:tc>
                <w:tcPr>
                  <w:tcW w:w="668" w:type="dxa"/>
                  <w:vMerge w:val="restart"/>
                  <w:vAlign w:val="center"/>
                </w:tcPr>
                <w:p>
                  <w:pPr>
                    <w:jc w:val="center"/>
                  </w:pPr>
                  <w:r>
                    <w:t>含油污泥</w:t>
                  </w:r>
                </w:p>
              </w:tc>
              <w:tc>
                <w:tcPr>
                  <w:tcW w:w="668" w:type="dxa"/>
                  <w:vMerge w:val="restart"/>
                  <w:vAlign w:val="center"/>
                </w:tcPr>
                <w:p>
                  <w:pPr>
                    <w:spacing w:line="320" w:lineRule="exact"/>
                    <w:jc w:val="center"/>
                  </w:pPr>
                  <w:r>
                    <w:rPr>
                      <w:rFonts w:hint="eastAsia"/>
                    </w:rPr>
                    <w:t>HW49其他废物</w:t>
                  </w:r>
                </w:p>
              </w:tc>
              <w:tc>
                <w:tcPr>
                  <w:tcW w:w="668" w:type="dxa"/>
                  <w:vMerge w:val="restart"/>
                  <w:vAlign w:val="center"/>
                </w:tcPr>
                <w:p>
                  <w:pPr>
                    <w:snapToGrid w:val="0"/>
                    <w:jc w:val="center"/>
                  </w:pPr>
                  <w:r>
                    <w:rPr>
                      <w:rFonts w:hint="eastAsia"/>
                    </w:rPr>
                    <w:t>900-041-49</w:t>
                  </w:r>
                </w:p>
              </w:tc>
              <w:tc>
                <w:tcPr>
                  <w:tcW w:w="668" w:type="dxa"/>
                  <w:vMerge w:val="restart"/>
                  <w:vAlign w:val="center"/>
                </w:tcPr>
                <w:p>
                  <w:pPr>
                    <w:topLinePunct/>
                    <w:adjustRightInd w:val="0"/>
                    <w:snapToGrid w:val="0"/>
                    <w:jc w:val="center"/>
                  </w:pPr>
                  <w:r>
                    <w:rPr>
                      <w:rFonts w:hint="eastAsia"/>
                    </w:rPr>
                    <w:t>0.2</w:t>
                  </w:r>
                </w:p>
              </w:tc>
              <w:tc>
                <w:tcPr>
                  <w:tcW w:w="668" w:type="dxa"/>
                  <w:vMerge w:val="restart"/>
                  <w:vAlign w:val="center"/>
                </w:tcPr>
                <w:p>
                  <w:pPr>
                    <w:topLinePunct/>
                    <w:adjustRightInd w:val="0"/>
                    <w:snapToGrid w:val="0"/>
                    <w:jc w:val="center"/>
                  </w:pPr>
                  <w:r>
                    <w:t>废水处理</w:t>
                  </w:r>
                </w:p>
              </w:tc>
              <w:tc>
                <w:tcPr>
                  <w:tcW w:w="668" w:type="dxa"/>
                  <w:vMerge w:val="restart"/>
                  <w:vAlign w:val="center"/>
                </w:tcPr>
                <w:p>
                  <w:pPr>
                    <w:topLinePunct/>
                    <w:adjustRightInd w:val="0"/>
                    <w:snapToGrid w:val="0"/>
                    <w:jc w:val="center"/>
                  </w:pPr>
                  <w:r>
                    <w:t>半固态</w:t>
                  </w:r>
                </w:p>
              </w:tc>
              <w:tc>
                <w:tcPr>
                  <w:tcW w:w="668" w:type="dxa"/>
                  <w:vMerge w:val="restart"/>
                  <w:vAlign w:val="center"/>
                </w:tcPr>
                <w:p>
                  <w:pPr>
                    <w:topLinePunct/>
                    <w:adjustRightInd w:val="0"/>
                    <w:snapToGrid w:val="0"/>
                    <w:jc w:val="center"/>
                  </w:pPr>
                  <w:r>
                    <w:rPr>
                      <w:rFonts w:hint="eastAsia"/>
                    </w:rPr>
                    <w:t>含油污泥</w:t>
                  </w:r>
                </w:p>
              </w:tc>
              <w:tc>
                <w:tcPr>
                  <w:tcW w:w="668" w:type="dxa"/>
                  <w:vMerge w:val="restart"/>
                  <w:vAlign w:val="center"/>
                </w:tcPr>
                <w:p>
                  <w:pPr>
                    <w:snapToGrid w:val="0"/>
                    <w:jc w:val="center"/>
                  </w:pPr>
                  <w:r>
                    <w:rPr>
                      <w:rFonts w:hint="eastAsia"/>
                    </w:rPr>
                    <w:t>废矿物油</w:t>
                  </w:r>
                </w:p>
              </w:tc>
              <w:tc>
                <w:tcPr>
                  <w:tcW w:w="668" w:type="dxa"/>
                  <w:vMerge w:val="continue"/>
                </w:tcPr>
                <w:p>
                  <w:pPr>
                    <w:pStyle w:val="3"/>
                    <w:spacing w:before="62" w:after="62"/>
                  </w:pPr>
                </w:p>
              </w:tc>
              <w:tc>
                <w:tcPr>
                  <w:tcW w:w="669" w:type="dxa"/>
                  <w:vMerge w:val="restart"/>
                  <w:vAlign w:val="center"/>
                </w:tcPr>
                <w:p>
                  <w:pPr>
                    <w:topLinePunct/>
                    <w:adjustRightInd w:val="0"/>
                    <w:snapToGrid w:val="0"/>
                    <w:jc w:val="center"/>
                  </w:pPr>
                  <w:r>
                    <w:rPr>
                      <w:rFonts w:hint="eastAsia"/>
                    </w:rPr>
                    <w:t>T</w:t>
                  </w: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Merge w:val="continue"/>
                  <w:tcBorders>
                    <w:left w:val="nil"/>
                  </w:tcBorders>
                  <w:vAlign w:val="center"/>
                </w:tcPr>
                <w:p>
                  <w:pPr>
                    <w:topLinePunct/>
                    <w:adjustRightInd w:val="0"/>
                    <w:snapToGrid w:val="0"/>
                    <w:jc w:val="center"/>
                  </w:pPr>
                </w:p>
              </w:tc>
              <w:tc>
                <w:tcPr>
                  <w:tcW w:w="668" w:type="dxa"/>
                  <w:vMerge w:val="continue"/>
                  <w:vAlign w:val="center"/>
                </w:tcPr>
                <w:p>
                  <w:pPr>
                    <w:jc w:val="center"/>
                  </w:pPr>
                </w:p>
              </w:tc>
              <w:tc>
                <w:tcPr>
                  <w:tcW w:w="668" w:type="dxa"/>
                  <w:vMerge w:val="continue"/>
                  <w:vAlign w:val="center"/>
                </w:tcPr>
                <w:p>
                  <w:pPr>
                    <w:spacing w:line="320" w:lineRule="exact"/>
                    <w:jc w:val="center"/>
                  </w:pPr>
                </w:p>
              </w:tc>
              <w:tc>
                <w:tcPr>
                  <w:tcW w:w="668" w:type="dxa"/>
                  <w:vMerge w:val="continue"/>
                  <w:vAlign w:val="center"/>
                </w:tcPr>
                <w:p>
                  <w:pPr>
                    <w:snapToGrid w:val="0"/>
                    <w:jc w:val="center"/>
                  </w:pPr>
                </w:p>
              </w:tc>
              <w:tc>
                <w:tcPr>
                  <w:tcW w:w="668" w:type="dxa"/>
                  <w:vMerge w:val="continue"/>
                  <w:vAlign w:val="center"/>
                </w:tcPr>
                <w:p>
                  <w:pPr>
                    <w:topLinePunct/>
                    <w:adjustRightInd w:val="0"/>
                    <w:snapToGrid w:val="0"/>
                    <w:jc w:val="center"/>
                  </w:pPr>
                </w:p>
              </w:tc>
              <w:tc>
                <w:tcPr>
                  <w:tcW w:w="668" w:type="dxa"/>
                  <w:vMerge w:val="continue"/>
                  <w:vAlign w:val="center"/>
                </w:tcPr>
                <w:p>
                  <w:pPr>
                    <w:topLinePunct/>
                    <w:adjustRightInd w:val="0"/>
                    <w:snapToGrid w:val="0"/>
                    <w:jc w:val="center"/>
                  </w:pPr>
                </w:p>
              </w:tc>
              <w:tc>
                <w:tcPr>
                  <w:tcW w:w="668" w:type="dxa"/>
                  <w:vMerge w:val="continue"/>
                  <w:vAlign w:val="center"/>
                </w:tcPr>
                <w:p>
                  <w:pPr>
                    <w:topLinePunct/>
                    <w:adjustRightInd w:val="0"/>
                    <w:snapToGrid w:val="0"/>
                    <w:jc w:val="center"/>
                  </w:pPr>
                </w:p>
              </w:tc>
              <w:tc>
                <w:tcPr>
                  <w:tcW w:w="668" w:type="dxa"/>
                  <w:vMerge w:val="continue"/>
                  <w:vAlign w:val="center"/>
                </w:tcPr>
                <w:p>
                  <w:pPr>
                    <w:topLinePunct/>
                    <w:adjustRightInd w:val="0"/>
                    <w:snapToGrid w:val="0"/>
                    <w:jc w:val="center"/>
                  </w:pPr>
                </w:p>
              </w:tc>
              <w:tc>
                <w:tcPr>
                  <w:tcW w:w="668" w:type="dxa"/>
                  <w:vMerge w:val="continue"/>
                  <w:vAlign w:val="center"/>
                </w:tcPr>
                <w:p>
                  <w:pPr>
                    <w:snapToGrid w:val="0"/>
                    <w:jc w:val="center"/>
                  </w:pPr>
                </w:p>
              </w:tc>
              <w:tc>
                <w:tcPr>
                  <w:tcW w:w="668" w:type="dxa"/>
                  <w:vAlign w:val="center"/>
                </w:tcPr>
                <w:p>
                  <w:pPr>
                    <w:topLinePunct/>
                    <w:adjustRightInd w:val="0"/>
                    <w:snapToGrid w:val="0"/>
                    <w:jc w:val="center"/>
                  </w:pPr>
                  <w:r>
                    <w:rPr>
                      <w:rFonts w:hint="eastAsia"/>
                    </w:rPr>
                    <w:t>1次/半月</w:t>
                  </w:r>
                </w:p>
              </w:tc>
              <w:tc>
                <w:tcPr>
                  <w:tcW w:w="669" w:type="dxa"/>
                  <w:vMerge w:val="continue"/>
                  <w:vAlign w:val="center"/>
                </w:tcPr>
                <w:p>
                  <w:pPr>
                    <w:topLinePunct/>
                    <w:adjustRightInd w:val="0"/>
                    <w:snapToGrid w:val="0"/>
                    <w:jc w:val="center"/>
                  </w:pPr>
                </w:p>
              </w:tc>
              <w:tc>
                <w:tcPr>
                  <w:tcW w:w="669" w:type="dxa"/>
                  <w:vMerge w:val="continue"/>
                  <w:tcBorders>
                    <w:right w:val="nil"/>
                  </w:tcBorders>
                </w:tcPr>
                <w:p>
                  <w:pPr>
                    <w:pStyle w:val="3"/>
                    <w:spacing w:before="62" w:after="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Borders>
                    <w:left w:val="nil"/>
                    <w:bottom w:val="single" w:color="auto" w:sz="12" w:space="0"/>
                  </w:tcBorders>
                  <w:vAlign w:val="center"/>
                </w:tcPr>
                <w:p>
                  <w:pPr>
                    <w:topLinePunct/>
                    <w:adjustRightInd w:val="0"/>
                    <w:snapToGrid w:val="0"/>
                    <w:jc w:val="center"/>
                  </w:pPr>
                  <w:r>
                    <w:rPr>
                      <w:rFonts w:hint="eastAsia"/>
                    </w:rPr>
                    <w:t>8</w:t>
                  </w:r>
                </w:p>
              </w:tc>
              <w:tc>
                <w:tcPr>
                  <w:tcW w:w="668" w:type="dxa"/>
                  <w:tcBorders>
                    <w:bottom w:val="single" w:color="auto" w:sz="12" w:space="0"/>
                  </w:tcBorders>
                  <w:vAlign w:val="center"/>
                </w:tcPr>
                <w:p>
                  <w:pPr>
                    <w:jc w:val="center"/>
                  </w:pPr>
                  <w:r>
                    <w:t>废活性炭</w:t>
                  </w:r>
                </w:p>
              </w:tc>
              <w:tc>
                <w:tcPr>
                  <w:tcW w:w="668" w:type="dxa"/>
                  <w:tcBorders>
                    <w:bottom w:val="single" w:color="auto" w:sz="12" w:space="0"/>
                  </w:tcBorders>
                  <w:vAlign w:val="center"/>
                </w:tcPr>
                <w:p>
                  <w:pPr>
                    <w:snapToGrid w:val="0"/>
                    <w:jc w:val="center"/>
                  </w:pPr>
                  <w:r>
                    <w:rPr>
                      <w:rFonts w:hint="eastAsia"/>
                    </w:rPr>
                    <w:t>HW49 其他废物</w:t>
                  </w:r>
                </w:p>
              </w:tc>
              <w:tc>
                <w:tcPr>
                  <w:tcW w:w="668" w:type="dxa"/>
                  <w:tcBorders>
                    <w:bottom w:val="single" w:color="auto" w:sz="12" w:space="0"/>
                  </w:tcBorders>
                  <w:vAlign w:val="center"/>
                </w:tcPr>
                <w:p>
                  <w:pPr>
                    <w:snapToGrid w:val="0"/>
                    <w:jc w:val="center"/>
                  </w:pPr>
                  <w:r>
                    <w:t>900-039-49</w:t>
                  </w:r>
                </w:p>
              </w:tc>
              <w:tc>
                <w:tcPr>
                  <w:tcW w:w="668" w:type="dxa"/>
                  <w:tcBorders>
                    <w:bottom w:val="single" w:color="auto" w:sz="12" w:space="0"/>
                  </w:tcBorders>
                  <w:vAlign w:val="center"/>
                </w:tcPr>
                <w:p>
                  <w:pPr>
                    <w:topLinePunct/>
                    <w:adjustRightInd w:val="0"/>
                    <w:snapToGrid w:val="0"/>
                    <w:jc w:val="center"/>
                  </w:pPr>
                  <w:r>
                    <w:rPr>
                      <w:rFonts w:hint="eastAsia"/>
                    </w:rPr>
                    <w:t>0.25</w:t>
                  </w:r>
                </w:p>
              </w:tc>
              <w:tc>
                <w:tcPr>
                  <w:tcW w:w="668" w:type="dxa"/>
                  <w:tcBorders>
                    <w:bottom w:val="single" w:color="auto" w:sz="12" w:space="0"/>
                  </w:tcBorders>
                  <w:vAlign w:val="center"/>
                </w:tcPr>
                <w:p>
                  <w:pPr>
                    <w:topLinePunct/>
                    <w:adjustRightInd w:val="0"/>
                    <w:snapToGrid w:val="0"/>
                    <w:jc w:val="center"/>
                  </w:pPr>
                  <w:r>
                    <w:t>废气处理</w:t>
                  </w:r>
                </w:p>
              </w:tc>
              <w:tc>
                <w:tcPr>
                  <w:tcW w:w="668" w:type="dxa"/>
                  <w:tcBorders>
                    <w:bottom w:val="single" w:color="auto" w:sz="12" w:space="0"/>
                  </w:tcBorders>
                  <w:vAlign w:val="center"/>
                </w:tcPr>
                <w:p>
                  <w:pPr>
                    <w:topLinePunct/>
                    <w:adjustRightInd w:val="0"/>
                    <w:snapToGrid w:val="0"/>
                    <w:jc w:val="center"/>
                  </w:pPr>
                  <w:r>
                    <w:t>固态</w:t>
                  </w:r>
                </w:p>
              </w:tc>
              <w:tc>
                <w:tcPr>
                  <w:tcW w:w="668" w:type="dxa"/>
                  <w:tcBorders>
                    <w:bottom w:val="single" w:color="auto" w:sz="12" w:space="0"/>
                  </w:tcBorders>
                  <w:vAlign w:val="center"/>
                </w:tcPr>
                <w:p>
                  <w:pPr>
                    <w:topLinePunct/>
                    <w:adjustRightInd w:val="0"/>
                    <w:snapToGrid w:val="0"/>
                    <w:jc w:val="center"/>
                  </w:pPr>
                  <w:r>
                    <w:rPr>
                      <w:rFonts w:hint="eastAsia"/>
                    </w:rPr>
                    <w:t>活性炭</w:t>
                  </w:r>
                </w:p>
              </w:tc>
              <w:tc>
                <w:tcPr>
                  <w:tcW w:w="668" w:type="dxa"/>
                  <w:tcBorders>
                    <w:bottom w:val="single" w:color="auto" w:sz="12" w:space="0"/>
                  </w:tcBorders>
                  <w:vAlign w:val="center"/>
                </w:tcPr>
                <w:p>
                  <w:pPr>
                    <w:snapToGrid w:val="0"/>
                    <w:jc w:val="center"/>
                  </w:pPr>
                  <w:r>
                    <w:rPr>
                      <w:rFonts w:hint="eastAsia"/>
                    </w:rPr>
                    <w:t>吸附的油气</w:t>
                  </w:r>
                </w:p>
              </w:tc>
              <w:tc>
                <w:tcPr>
                  <w:tcW w:w="668" w:type="dxa"/>
                  <w:tcBorders>
                    <w:bottom w:val="single" w:color="auto" w:sz="12" w:space="0"/>
                  </w:tcBorders>
                  <w:vAlign w:val="center"/>
                </w:tcPr>
                <w:p>
                  <w:pPr>
                    <w:topLinePunct/>
                    <w:adjustRightInd w:val="0"/>
                    <w:snapToGrid w:val="0"/>
                    <w:jc w:val="center"/>
                  </w:pPr>
                  <w:r>
                    <w:rPr>
                      <w:rFonts w:hint="eastAsia"/>
                    </w:rPr>
                    <w:t>每季度</w:t>
                  </w:r>
                </w:p>
              </w:tc>
              <w:tc>
                <w:tcPr>
                  <w:tcW w:w="669" w:type="dxa"/>
                  <w:tcBorders>
                    <w:bottom w:val="single" w:color="auto" w:sz="12" w:space="0"/>
                  </w:tcBorders>
                  <w:vAlign w:val="center"/>
                </w:tcPr>
                <w:p>
                  <w:pPr>
                    <w:topLinePunct/>
                    <w:adjustRightInd w:val="0"/>
                    <w:snapToGrid w:val="0"/>
                    <w:jc w:val="center"/>
                  </w:pPr>
                  <w:r>
                    <w:rPr>
                      <w:rFonts w:hint="eastAsia"/>
                    </w:rPr>
                    <w:t>T</w:t>
                  </w:r>
                </w:p>
              </w:tc>
              <w:tc>
                <w:tcPr>
                  <w:tcW w:w="669" w:type="dxa"/>
                  <w:vMerge w:val="continue"/>
                  <w:tcBorders>
                    <w:bottom w:val="single" w:color="auto" w:sz="12" w:space="0"/>
                    <w:right w:val="nil"/>
                  </w:tcBorders>
                </w:tcPr>
                <w:p>
                  <w:pPr>
                    <w:pStyle w:val="3"/>
                    <w:spacing w:before="62" w:after="62"/>
                  </w:pPr>
                </w:p>
              </w:tc>
            </w:tr>
          </w:tbl>
          <w:p>
            <w:pPr>
              <w:adjustRightInd w:val="0"/>
              <w:snapToGrid w:val="0"/>
              <w:spacing w:line="360" w:lineRule="auto"/>
              <w:ind w:firstLine="480" w:firstLineChars="200"/>
              <w:rPr>
                <w:rFonts w:hint="eastAsia"/>
                <w:sz w:val="24"/>
                <w:szCs w:val="24"/>
              </w:rPr>
            </w:pPr>
            <w:r>
              <w:rPr>
                <w:rFonts w:hint="eastAsia"/>
                <w:sz w:val="24"/>
                <w:szCs w:val="24"/>
                <w:lang w:val="en-US" w:eastAsia="zh-CN"/>
              </w:rPr>
              <w:t>本项目危险废物贮存周期一个月，暂存间内按照危险废物性质、形态不同，将废铅蓄电池、拆解废油及其它危险废物进行分区存放，分别采用密闭桶装，集中码垛方式存放，符合《危险废物贮存污染控制标准》（</w:t>
            </w:r>
            <w:r>
              <w:rPr>
                <w:rFonts w:hint="default"/>
                <w:sz w:val="24"/>
                <w:szCs w:val="24"/>
                <w:lang w:val="en-US" w:eastAsia="zh-CN"/>
              </w:rPr>
              <w:t>GB18597-2001</w:t>
            </w:r>
            <w:r>
              <w:rPr>
                <w:rFonts w:hint="eastAsia"/>
                <w:sz w:val="24"/>
                <w:szCs w:val="24"/>
                <w:lang w:val="en-US" w:eastAsia="zh-CN"/>
              </w:rPr>
              <w:t xml:space="preserve">）要求。 </w:t>
            </w:r>
          </w:p>
          <w:p>
            <w:pPr>
              <w:adjustRightInd w:val="0"/>
              <w:snapToGrid w:val="0"/>
              <w:spacing w:line="360" w:lineRule="auto"/>
              <w:ind w:firstLine="482" w:firstLineChars="200"/>
              <w:rPr>
                <w:b/>
                <w:bCs/>
                <w:sz w:val="24"/>
                <w:szCs w:val="24"/>
              </w:rPr>
            </w:pPr>
            <w:r>
              <w:rPr>
                <w:rFonts w:hint="eastAsia"/>
                <w:b/>
                <w:bCs/>
                <w:sz w:val="24"/>
                <w:szCs w:val="24"/>
              </w:rPr>
              <w:t>（3）固体废物环境管理要求</w:t>
            </w:r>
          </w:p>
          <w:p>
            <w:pPr>
              <w:adjustRightInd w:val="0"/>
              <w:snapToGrid w:val="0"/>
              <w:spacing w:line="360" w:lineRule="auto"/>
              <w:ind w:firstLine="480" w:firstLineChars="200"/>
              <w:rPr>
                <w:sz w:val="24"/>
                <w:szCs w:val="24"/>
              </w:rPr>
            </w:pPr>
            <w:r>
              <w:rPr>
                <w:rFonts w:hint="eastAsia"/>
                <w:sz w:val="24"/>
                <w:szCs w:val="24"/>
              </w:rPr>
              <w:t>本项目一般工业固体贮存场所主要为仓库，储存内容主要为废轮胎、</w:t>
            </w:r>
            <w:r>
              <w:rPr>
                <w:rFonts w:hint="eastAsia"/>
                <w:sz w:val="24"/>
                <w:szCs w:val="24"/>
                <w:lang w:eastAsia="zh-CN"/>
              </w:rPr>
              <w:t>废钢铁、废金属、</w:t>
            </w:r>
            <w:r>
              <w:rPr>
                <w:rFonts w:hint="eastAsia"/>
                <w:sz w:val="24"/>
                <w:szCs w:val="24"/>
              </w:rPr>
              <w:t>毁形总成、废玻璃</w:t>
            </w:r>
            <w:r>
              <w:rPr>
                <w:rFonts w:hint="eastAsia"/>
                <w:sz w:val="24"/>
                <w:szCs w:val="24"/>
                <w:lang w:eastAsia="zh-CN"/>
              </w:rPr>
              <w:t>、零部件、废塑料</w:t>
            </w:r>
            <w:r>
              <w:rPr>
                <w:rFonts w:hint="eastAsia"/>
                <w:sz w:val="24"/>
                <w:szCs w:val="24"/>
              </w:rPr>
              <w:t>等。一般工业固废贮存场地需满足《一般工业固体废物贮存和填埋污染控制标准》（</w:t>
            </w:r>
            <w:r>
              <w:rPr>
                <w:sz w:val="24"/>
                <w:szCs w:val="24"/>
              </w:rPr>
              <w:t>GB18599-2020</w:t>
            </w:r>
            <w:r>
              <w:rPr>
                <w:rFonts w:hint="eastAsia"/>
                <w:sz w:val="24"/>
                <w:szCs w:val="24"/>
              </w:rPr>
              <w:t>）标准要求。一般工业固体废物临时贮存场所，并专人负责固体废物的收集、贮存，同时配合地方要求进行集中处置。</w:t>
            </w:r>
          </w:p>
          <w:p>
            <w:pPr>
              <w:adjustRightInd w:val="0"/>
              <w:snapToGrid w:val="0"/>
              <w:spacing w:line="360" w:lineRule="auto"/>
              <w:ind w:firstLine="482" w:firstLineChars="200"/>
              <w:rPr>
                <w:b/>
                <w:bCs/>
                <w:sz w:val="24"/>
                <w:szCs w:val="24"/>
              </w:rPr>
            </w:pPr>
            <w:r>
              <w:rPr>
                <w:rFonts w:hint="eastAsia"/>
                <w:b/>
                <w:bCs/>
                <w:sz w:val="24"/>
                <w:szCs w:val="24"/>
              </w:rPr>
              <w:t>1）一般固体废物贮存运行管理要求</w:t>
            </w:r>
          </w:p>
          <w:p>
            <w:pPr>
              <w:adjustRightInd w:val="0"/>
              <w:snapToGrid w:val="0"/>
              <w:spacing w:line="360" w:lineRule="auto"/>
              <w:ind w:firstLine="480" w:firstLineChars="200"/>
              <w:rPr>
                <w:sz w:val="24"/>
                <w:szCs w:val="24"/>
              </w:rPr>
            </w:pPr>
            <w:r>
              <w:rPr>
                <w:rFonts w:hint="eastAsia"/>
                <w:sz w:val="24"/>
                <w:szCs w:val="24"/>
              </w:rPr>
              <w:t>一般固体废物临时堆放场应满足如下条件：</w:t>
            </w:r>
          </w:p>
          <w:p>
            <w:pPr>
              <w:adjustRightInd w:val="0"/>
              <w:snapToGrid w:val="0"/>
              <w:spacing w:line="360" w:lineRule="auto"/>
              <w:ind w:firstLine="480" w:firstLineChars="200"/>
              <w:rPr>
                <w:sz w:val="24"/>
                <w:szCs w:val="24"/>
              </w:rPr>
            </w:pPr>
            <w:r>
              <w:rPr>
                <w:rFonts w:hint="eastAsia"/>
                <w:sz w:val="24"/>
                <w:szCs w:val="24"/>
              </w:rPr>
              <w:t>①临时堆放场应选在防渗性能好的地基上天然基础层地表距地下水位的距离不得小于1.5m。</w:t>
            </w:r>
          </w:p>
          <w:p>
            <w:pPr>
              <w:adjustRightInd w:val="0"/>
              <w:snapToGrid w:val="0"/>
              <w:spacing w:line="360" w:lineRule="auto"/>
              <w:ind w:firstLine="480" w:firstLineChars="200"/>
              <w:rPr>
                <w:sz w:val="24"/>
                <w:szCs w:val="24"/>
              </w:rPr>
            </w:pPr>
            <w:r>
              <w:rPr>
                <w:rFonts w:hint="eastAsia"/>
                <w:sz w:val="24"/>
                <w:szCs w:val="24"/>
              </w:rPr>
              <w:t>②临时堆放场四周应建有围墙，防止固体废物流失以及造成粉尘污染。</w:t>
            </w:r>
          </w:p>
          <w:p>
            <w:pPr>
              <w:adjustRightInd w:val="0"/>
              <w:snapToGrid w:val="0"/>
              <w:spacing w:line="360" w:lineRule="auto"/>
              <w:ind w:firstLine="480" w:firstLineChars="200"/>
              <w:rPr>
                <w:sz w:val="24"/>
                <w:szCs w:val="24"/>
              </w:rPr>
            </w:pPr>
            <w:r>
              <w:rPr>
                <w:rFonts w:hint="eastAsia"/>
                <w:sz w:val="24"/>
                <w:szCs w:val="24"/>
              </w:rPr>
              <w:t>③临时堆放场应建有防雨淋、防渗透措施。</w:t>
            </w:r>
          </w:p>
          <w:p>
            <w:pPr>
              <w:spacing w:line="360" w:lineRule="auto"/>
              <w:ind w:firstLine="480" w:firstLineChars="200"/>
              <w:rPr>
                <w:sz w:val="24"/>
                <w:szCs w:val="24"/>
              </w:rPr>
            </w:pPr>
            <w:r>
              <w:rPr>
                <w:rFonts w:hint="eastAsia"/>
                <w:sz w:val="24"/>
                <w:szCs w:val="24"/>
              </w:rPr>
              <w:t>④为了便于管理，临时堆放场应按GB15562.2设置环境保护图形标志。</w:t>
            </w:r>
          </w:p>
          <w:p>
            <w:pPr>
              <w:pStyle w:val="105"/>
              <w:rPr>
                <w:sz w:val="24"/>
                <w:szCs w:val="24"/>
              </w:rPr>
            </w:pPr>
            <w:r>
              <w:rPr>
                <w:rFonts w:hint="eastAsia"/>
                <w:sz w:val="24"/>
                <w:szCs w:val="24"/>
              </w:rPr>
              <w:t>⑤物料、固体废物暂存场所需配备完善的封闭措施；</w:t>
            </w:r>
          </w:p>
          <w:p>
            <w:pPr>
              <w:pStyle w:val="105"/>
              <w:rPr>
                <w:sz w:val="24"/>
                <w:szCs w:val="24"/>
              </w:rPr>
            </w:pPr>
            <w:r>
              <w:rPr>
                <w:rFonts w:hint="eastAsia"/>
                <w:sz w:val="24"/>
                <w:szCs w:val="24"/>
              </w:rPr>
              <w:t>⑥粉状固体废物应尽量使用袋装收集，避免散存；</w:t>
            </w:r>
          </w:p>
          <w:p>
            <w:pPr>
              <w:pStyle w:val="105"/>
              <w:rPr>
                <w:sz w:val="24"/>
                <w:szCs w:val="24"/>
              </w:rPr>
            </w:pPr>
            <w:r>
              <w:rPr>
                <w:rFonts w:hint="eastAsia"/>
                <w:sz w:val="24"/>
                <w:szCs w:val="24"/>
              </w:rPr>
              <w:t>⑦物料及固体废物外运应制定完善的运输处理计划，尽量采取少次、多量、集中的运输方式。</w:t>
            </w:r>
          </w:p>
          <w:p>
            <w:pPr>
              <w:spacing w:line="360" w:lineRule="auto"/>
              <w:ind w:firstLine="480"/>
              <w:jc w:val="left"/>
              <w:rPr>
                <w:b/>
                <w:bCs/>
                <w:sz w:val="24"/>
                <w:szCs w:val="24"/>
              </w:rPr>
            </w:pPr>
            <w:r>
              <w:rPr>
                <w:rFonts w:hint="eastAsia"/>
                <w:b/>
                <w:bCs/>
                <w:sz w:val="24"/>
                <w:szCs w:val="24"/>
              </w:rPr>
              <w:t>2）危险废物暂存间运行管理要求</w:t>
            </w:r>
          </w:p>
          <w:p>
            <w:pPr>
              <w:spacing w:line="360" w:lineRule="auto"/>
              <w:ind w:firstLine="480"/>
              <w:jc w:val="left"/>
              <w:rPr>
                <w:sz w:val="24"/>
                <w:szCs w:val="24"/>
              </w:rPr>
            </w:pPr>
            <w:r>
              <w:rPr>
                <w:rFonts w:hint="eastAsia"/>
                <w:sz w:val="24"/>
                <w:szCs w:val="24"/>
              </w:rPr>
              <w:t>危险废物贮存需满足《危险废物贮存污染控制标准》（GB18597-2001）及2013年修改单标准要求。</w:t>
            </w:r>
          </w:p>
          <w:p>
            <w:pPr>
              <w:spacing w:line="360" w:lineRule="auto"/>
              <w:ind w:firstLine="480"/>
              <w:jc w:val="left"/>
              <w:rPr>
                <w:sz w:val="24"/>
                <w:szCs w:val="24"/>
              </w:rPr>
            </w:pPr>
            <w:r>
              <w:rPr>
                <w:rFonts w:hint="eastAsia"/>
                <w:sz w:val="24"/>
                <w:szCs w:val="24"/>
              </w:rPr>
              <w:t>本项目危险废物暂存间建筑面积为260m</w:t>
            </w:r>
            <w:r>
              <w:rPr>
                <w:rFonts w:hint="eastAsia"/>
                <w:sz w:val="24"/>
                <w:szCs w:val="24"/>
                <w:vertAlign w:val="superscript"/>
              </w:rPr>
              <w:t>2</w:t>
            </w:r>
            <w:r>
              <w:rPr>
                <w:rFonts w:hint="eastAsia"/>
                <w:sz w:val="24"/>
                <w:szCs w:val="24"/>
              </w:rPr>
              <w:t>，危废间建设需满足以下要求：</w:t>
            </w:r>
          </w:p>
          <w:p>
            <w:pPr>
              <w:spacing w:line="360" w:lineRule="auto"/>
              <w:ind w:firstLine="480"/>
              <w:jc w:val="left"/>
              <w:rPr>
                <w:sz w:val="24"/>
                <w:szCs w:val="24"/>
              </w:rPr>
            </w:pPr>
            <w:r>
              <w:rPr>
                <w:rFonts w:hint="eastAsia"/>
                <w:sz w:val="24"/>
                <w:szCs w:val="24"/>
                <w:lang w:eastAsia="zh-CN"/>
              </w:rPr>
              <w:t>①</w:t>
            </w:r>
            <w:r>
              <w:rPr>
                <w:rFonts w:hint="default"/>
                <w:sz w:val="24"/>
                <w:szCs w:val="24"/>
              </w:rPr>
              <w:t>地</w:t>
            </w:r>
            <w:r>
              <w:rPr>
                <w:rFonts w:hint="default" w:asciiTheme="minorAscii" w:hAnsiTheme="minorAscii" w:eastAsiaTheme="minorEastAsia"/>
                <w:spacing w:val="-6"/>
                <w:sz w:val="24"/>
                <w:szCs w:val="24"/>
              </w:rPr>
              <w:t>面与裙角要用坚固、防渗的材料建造，建筑材料必须与危险废物相容；</w:t>
            </w:r>
          </w:p>
          <w:p>
            <w:pPr>
              <w:spacing w:line="360" w:lineRule="auto"/>
              <w:ind w:firstLine="480"/>
              <w:jc w:val="left"/>
              <w:rPr>
                <w:sz w:val="24"/>
                <w:szCs w:val="24"/>
              </w:rPr>
            </w:pPr>
            <w:r>
              <w:rPr>
                <w:rFonts w:hint="eastAsia"/>
                <w:sz w:val="24"/>
                <w:szCs w:val="24"/>
              </w:rPr>
              <w:t>②必须有泄漏液体收集装置</w:t>
            </w:r>
          </w:p>
          <w:p>
            <w:pPr>
              <w:spacing w:line="360" w:lineRule="auto"/>
              <w:ind w:firstLine="480"/>
              <w:jc w:val="left"/>
              <w:rPr>
                <w:sz w:val="24"/>
                <w:szCs w:val="24"/>
              </w:rPr>
            </w:pPr>
            <w:r>
              <w:rPr>
                <w:rFonts w:hint="eastAsia"/>
                <w:sz w:val="24"/>
                <w:szCs w:val="24"/>
              </w:rPr>
              <w:t>③设施内要有安全照明设施和观察窗口；</w:t>
            </w:r>
          </w:p>
          <w:p>
            <w:pPr>
              <w:spacing w:line="360" w:lineRule="auto"/>
              <w:ind w:firstLine="480"/>
              <w:jc w:val="left"/>
              <w:rPr>
                <w:sz w:val="24"/>
                <w:szCs w:val="24"/>
              </w:rPr>
            </w:pPr>
            <w:r>
              <w:rPr>
                <w:rFonts w:hint="eastAsia"/>
                <w:sz w:val="24"/>
                <w:szCs w:val="24"/>
              </w:rPr>
              <w:t>④用以存放装载液体、半固体危险容器的地方，必须有耐腐蚀的硬化地面，且表面无裂隙；</w:t>
            </w:r>
          </w:p>
          <w:p>
            <w:pPr>
              <w:spacing w:line="360" w:lineRule="auto"/>
              <w:ind w:firstLine="480"/>
              <w:jc w:val="left"/>
              <w:rPr>
                <w:sz w:val="24"/>
                <w:szCs w:val="24"/>
              </w:rPr>
            </w:pPr>
            <w:r>
              <w:rPr>
                <w:rFonts w:hint="eastAsia"/>
                <w:sz w:val="24"/>
                <w:szCs w:val="24"/>
              </w:rPr>
              <w:t>⑤应设计堵截泄漏的裙脚，地面与裙脚所围建的容积不低于堵截最大容器的最大储量或总储量的1/5；</w:t>
            </w:r>
          </w:p>
          <w:p>
            <w:pPr>
              <w:spacing w:line="360" w:lineRule="auto"/>
              <w:ind w:firstLine="480"/>
              <w:jc w:val="left"/>
              <w:rPr>
                <w:sz w:val="24"/>
                <w:szCs w:val="24"/>
              </w:rPr>
            </w:pPr>
            <w:r>
              <w:rPr>
                <w:rFonts w:hint="eastAsia"/>
                <w:sz w:val="24"/>
                <w:szCs w:val="24"/>
              </w:rPr>
              <w:t>⑥不相容的危险废物必须分开存放，并设有隔离间隔断；</w:t>
            </w:r>
          </w:p>
          <w:p>
            <w:pPr>
              <w:adjustRightInd w:val="0"/>
              <w:snapToGrid w:val="0"/>
              <w:spacing w:line="360" w:lineRule="auto"/>
              <w:ind w:firstLine="480" w:firstLineChars="200"/>
              <w:rPr>
                <w:rFonts w:hint="eastAsia"/>
                <w:sz w:val="24"/>
                <w:szCs w:val="24"/>
              </w:rPr>
            </w:pPr>
            <w:r>
              <w:rPr>
                <w:rFonts w:hint="eastAsia"/>
                <w:sz w:val="24"/>
                <w:szCs w:val="24"/>
              </w:rPr>
              <w:t>⑦防渗层至少为等效粘土防渗层Mb≥6.0m（渗透系数≤10-7cm/s），符合《危险废物贮存污染控制标准》（GB185978-2001）内相关标准要求。</w:t>
            </w:r>
          </w:p>
          <w:p>
            <w:pPr>
              <w:adjustRightInd w:val="0"/>
              <w:snapToGrid w:val="0"/>
              <w:spacing w:line="360" w:lineRule="auto"/>
              <w:ind w:firstLine="482" w:firstLineChars="200"/>
              <w:rPr>
                <w:rFonts w:hint="eastAsia" w:ascii="宋体" w:hAnsi="宋体" w:cs="宋体"/>
                <w:bCs/>
                <w:sz w:val="24"/>
              </w:rPr>
            </w:pPr>
            <w:r>
              <w:rPr>
                <w:rFonts w:hint="eastAsia" w:ascii="宋体" w:hAnsi="宋体" w:cs="宋体"/>
                <w:b/>
                <w:bCs w:val="0"/>
                <w:sz w:val="24"/>
              </w:rPr>
              <w:t>3）铅酸蓄电池管理要求</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项目仅将废蓄电池从农机上拆除，不进行废蓄电池的进一步拆解。严禁将废蓄电池内部的液体倾倒出来，废蓄电池贮存在耐酸容器中或者具有耐酸地面的专用区域内，厂区内设置专用危废暂存间用于废蓄电池的存储，定期委托有相应资质的单位进行处置，存放时间不超过三个月</w:t>
            </w:r>
            <w:r>
              <w:rPr>
                <w:rFonts w:hint="eastAsia" w:hAnsi="宋体" w:cs="宋体"/>
                <w:kern w:val="0"/>
                <w:sz w:val="24"/>
                <w:lang w:val="en-US" w:eastAsia="zh-CN"/>
              </w:rPr>
              <w:t>。</w:t>
            </w:r>
            <w:r>
              <w:rPr>
                <w:rFonts w:hint="eastAsia" w:hAnsi="宋体" w:cs="宋体"/>
                <w:kern w:val="0"/>
                <w:sz w:val="24"/>
              </w:rPr>
              <w:t>废蓄电池存储设施应满足以下条件：</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a.贮存区应防雨，必须远离其他水源和热源；</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b.贮存区应有耐酸地面隔高层，以便于截留和收集废酸电解液；</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c.应设置围堰等收集系统，以便溢出的溶液及时收集处理，围堰高度不低于0.15m，围堰材质选用采用粘土、高密度聚乙烯土工膜（HDPE）进行处理；</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d.应只有一个入口，并且在一般情况下，应关闭此入口以避免灰尘的扩散；</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e.应设有适当的防火装置；</w:t>
            </w:r>
          </w:p>
          <w:p>
            <w:pPr>
              <w:adjustRightInd w:val="0"/>
              <w:snapToGrid w:val="0"/>
              <w:spacing w:line="360" w:lineRule="auto"/>
              <w:ind w:firstLine="480" w:firstLineChars="200"/>
              <w:rPr>
                <w:rFonts w:hint="eastAsia" w:hAnsi="宋体" w:cs="宋体"/>
                <w:kern w:val="0"/>
                <w:sz w:val="24"/>
              </w:rPr>
            </w:pPr>
            <w:r>
              <w:rPr>
                <w:rFonts w:hint="eastAsia" w:hAnsi="宋体" w:cs="宋体"/>
                <w:kern w:val="0"/>
                <w:sz w:val="24"/>
              </w:rPr>
              <w:t>f.作为危险品贮存点，必须设立警示标志，只允许专门人员进入贮存设施；</w:t>
            </w:r>
          </w:p>
          <w:p>
            <w:pPr>
              <w:adjustRightInd w:val="0"/>
              <w:snapToGrid w:val="0"/>
              <w:spacing w:line="360" w:lineRule="auto"/>
              <w:ind w:firstLine="480" w:firstLineChars="200"/>
              <w:rPr>
                <w:rFonts w:hint="eastAsia"/>
                <w:b/>
                <w:bCs/>
                <w:sz w:val="24"/>
                <w:szCs w:val="24"/>
                <w:lang w:val="en-US" w:eastAsia="zh-CN"/>
              </w:rPr>
            </w:pPr>
            <w:r>
              <w:rPr>
                <w:rFonts w:hint="eastAsia" w:hAnsi="宋体" w:cs="宋体"/>
                <w:kern w:val="0"/>
                <w:sz w:val="24"/>
              </w:rPr>
              <w:t>g.应设立负压排气系统。</w:t>
            </w:r>
          </w:p>
          <w:p>
            <w:pPr>
              <w:adjustRightInd w:val="0"/>
              <w:snapToGrid w:val="0"/>
              <w:spacing w:line="360" w:lineRule="auto"/>
              <w:ind w:firstLine="482" w:firstLineChars="200"/>
              <w:rPr>
                <w:sz w:val="24"/>
                <w:szCs w:val="24"/>
              </w:rPr>
            </w:pPr>
            <w:r>
              <w:rPr>
                <w:rFonts w:hint="eastAsia"/>
                <w:b/>
                <w:bCs/>
                <w:sz w:val="24"/>
                <w:szCs w:val="24"/>
                <w:lang w:val="en-US" w:eastAsia="zh-CN"/>
              </w:rPr>
              <w:t>4</w:t>
            </w:r>
            <w:r>
              <w:rPr>
                <w:rFonts w:hint="eastAsia"/>
                <w:b/>
                <w:bCs/>
                <w:sz w:val="24"/>
                <w:szCs w:val="24"/>
              </w:rPr>
              <w:t>）本项目危险废物暂存间防护措施</w:t>
            </w:r>
          </w:p>
          <w:p>
            <w:pPr>
              <w:adjustRightInd w:val="0"/>
              <w:snapToGrid w:val="0"/>
              <w:spacing w:line="360" w:lineRule="auto"/>
              <w:ind w:firstLine="480"/>
              <w:rPr>
                <w:sz w:val="24"/>
                <w:szCs w:val="24"/>
              </w:rPr>
            </w:pPr>
            <w:r>
              <w:rPr>
                <w:rFonts w:hint="eastAsia"/>
                <w:sz w:val="24"/>
                <w:szCs w:val="24"/>
              </w:rPr>
              <w:t>本项目危险废物暂存间利用现有厂房进行改建，地面采取HDPE膜及防渗混凝土防组合防渗层，裙角采用防渗混凝土结构；危险废物暂存间内备有HDPE材质应急泄漏液体收集设备；设有围堰，围堰高度不低于0.15m；同时危险废物暂存间设有排风扇，设有良好照明设施，排风扇定期排风，避免暂存间内空气流通不畅。</w:t>
            </w:r>
          </w:p>
          <w:p>
            <w:pPr>
              <w:adjustRightInd w:val="0"/>
              <w:snapToGrid w:val="0"/>
              <w:spacing w:line="360" w:lineRule="auto"/>
              <w:ind w:firstLine="480" w:firstLineChars="200"/>
              <w:rPr>
                <w:sz w:val="24"/>
                <w:szCs w:val="24"/>
              </w:rPr>
            </w:pPr>
            <w:r>
              <w:rPr>
                <w:rFonts w:hint="eastAsia"/>
                <w:sz w:val="24"/>
                <w:szCs w:val="24"/>
              </w:rPr>
              <w:t>本项目危废间内贮存有废铅蓄电池、废油液等危险废物，当发生泄漏事故时，首先蓄电池贮存区围堰或危废间围堰进行液体截流，避免废液流入外环境，然后使用应急备用收集设施对泄漏液体进行收集，备用设施应符合防渗、防腐要求，废液经收集后及时委托有资质单位进行处理，避免发生二次污染。</w:t>
            </w:r>
          </w:p>
          <w:p>
            <w:pPr>
              <w:adjustRightInd w:val="0"/>
              <w:snapToGrid w:val="0"/>
              <w:spacing w:line="360" w:lineRule="auto"/>
              <w:ind w:firstLine="480"/>
              <w:rPr>
                <w:sz w:val="24"/>
                <w:szCs w:val="24"/>
              </w:rPr>
            </w:pPr>
            <w:r>
              <w:rPr>
                <w:rFonts w:hint="eastAsia"/>
                <w:sz w:val="24"/>
                <w:szCs w:val="24"/>
              </w:rPr>
              <w:t>本项目危险废物暂存间主要暂存的危险废物主要包括农机拆解过程中产生危险废物，废水处理过程中产生的含油污泥，废气治理过程中产生的废活性炭。主要包括HW08废矿物油与含矿物油废物、HW31含铅废物、HW49其他废物等。</w:t>
            </w:r>
          </w:p>
          <w:p>
            <w:pPr>
              <w:adjustRightInd w:val="0"/>
              <w:snapToGrid w:val="0"/>
              <w:spacing w:line="360" w:lineRule="auto"/>
              <w:ind w:firstLine="482" w:firstLineChars="200"/>
              <w:rPr>
                <w:b/>
                <w:bCs/>
                <w:sz w:val="24"/>
                <w:szCs w:val="24"/>
              </w:rPr>
            </w:pPr>
            <w:r>
              <w:rPr>
                <w:rFonts w:hint="eastAsia"/>
                <w:b/>
                <w:bCs/>
                <w:sz w:val="24"/>
                <w:szCs w:val="24"/>
                <w:lang w:val="en-US" w:eastAsia="zh-CN"/>
              </w:rPr>
              <w:t>5</w:t>
            </w:r>
            <w:r>
              <w:rPr>
                <w:rFonts w:hint="eastAsia"/>
                <w:b/>
                <w:bCs/>
                <w:sz w:val="24"/>
                <w:szCs w:val="24"/>
              </w:rPr>
              <w:t>）拆解车间防护措施</w:t>
            </w:r>
          </w:p>
          <w:p>
            <w:pPr>
              <w:adjustRightInd w:val="0"/>
              <w:snapToGrid w:val="0"/>
              <w:spacing w:line="360" w:lineRule="auto"/>
              <w:ind w:firstLine="480" w:firstLineChars="200"/>
              <w:rPr>
                <w:sz w:val="24"/>
                <w:szCs w:val="24"/>
              </w:rPr>
            </w:pPr>
            <w:r>
              <w:rPr>
                <w:rFonts w:hint="eastAsia"/>
                <w:sz w:val="24"/>
                <w:szCs w:val="24"/>
              </w:rPr>
              <w:t>拆解车间设有非甲烷总烃收集及处理设施，非甲烷总烃经收集处理后，15m高空排放；拆解车间设有排风系统，排风扇风量为5000m³/h，定期排风、</w:t>
            </w:r>
          </w:p>
          <w:p>
            <w:pPr>
              <w:adjustRightInd w:val="0"/>
              <w:snapToGrid w:val="0"/>
              <w:spacing w:line="360" w:lineRule="auto"/>
              <w:ind w:firstLine="480" w:firstLineChars="200"/>
              <w:rPr>
                <w:sz w:val="24"/>
                <w:szCs w:val="24"/>
              </w:rPr>
            </w:pPr>
            <w:r>
              <w:rPr>
                <w:rFonts w:hint="eastAsia"/>
                <w:sz w:val="24"/>
                <w:szCs w:val="24"/>
              </w:rPr>
              <w:t>拆解车间设有HDPE膜或防渗混凝土混合结构防渗层，车间设有围堰，避免泄漏事故造成扩散；设有应急泄漏事件收集设施及设备，设有危险废物装存容器，用于危险废物收集和存储，同时用于应急状态下，暂存泄漏的油液。</w:t>
            </w:r>
          </w:p>
          <w:p>
            <w:pPr>
              <w:adjustRightInd w:val="0"/>
              <w:snapToGrid w:val="0"/>
              <w:spacing w:line="360" w:lineRule="auto"/>
              <w:ind w:firstLine="482" w:firstLineChars="200"/>
              <w:rPr>
                <w:b/>
                <w:bCs/>
                <w:sz w:val="24"/>
                <w:szCs w:val="24"/>
              </w:rPr>
            </w:pPr>
            <w:r>
              <w:rPr>
                <w:rFonts w:hint="eastAsia"/>
                <w:b/>
                <w:bCs/>
                <w:sz w:val="24"/>
                <w:szCs w:val="24"/>
                <w:lang w:val="en-US" w:eastAsia="zh-CN"/>
              </w:rPr>
              <w:t>6</w:t>
            </w:r>
            <w:r>
              <w:rPr>
                <w:rFonts w:hint="eastAsia"/>
                <w:b/>
                <w:bCs/>
                <w:sz w:val="24"/>
                <w:szCs w:val="24"/>
              </w:rPr>
              <w:t>）危险废物运行管理要求</w:t>
            </w:r>
          </w:p>
          <w:p>
            <w:pPr>
              <w:snapToGrid w:val="0"/>
              <w:spacing w:line="360" w:lineRule="auto"/>
              <w:ind w:firstLine="480" w:firstLineChars="200"/>
              <w:rPr>
                <w:sz w:val="24"/>
                <w:szCs w:val="24"/>
              </w:rPr>
            </w:pPr>
            <w:r>
              <w:rPr>
                <w:rFonts w:hint="eastAsia"/>
                <w:sz w:val="24"/>
                <w:szCs w:val="24"/>
              </w:rPr>
              <w:t>危险废物在厂区内的管理应严格按照《危险废物污染防治技术政策》(环发[2001]199号)的要求进行。</w:t>
            </w:r>
          </w:p>
          <w:p>
            <w:pPr>
              <w:pStyle w:val="10"/>
              <w:spacing w:after="0" w:line="360" w:lineRule="auto"/>
              <w:ind w:firstLine="482" w:firstLineChars="200"/>
              <w:rPr>
                <w:b/>
                <w:bCs/>
                <w:sz w:val="24"/>
                <w:szCs w:val="24"/>
              </w:rPr>
            </w:pPr>
            <w:r>
              <w:rPr>
                <w:rFonts w:hint="eastAsia"/>
                <w:b/>
                <w:bCs/>
                <w:sz w:val="24"/>
                <w:szCs w:val="24"/>
              </w:rPr>
              <w:t>①拆解过程管理要求</w:t>
            </w:r>
          </w:p>
          <w:p>
            <w:pPr>
              <w:snapToGrid w:val="0"/>
              <w:spacing w:line="360" w:lineRule="auto"/>
              <w:ind w:firstLine="480" w:firstLineChars="200"/>
              <w:rPr>
                <w:sz w:val="24"/>
                <w:szCs w:val="24"/>
              </w:rPr>
            </w:pPr>
            <w:r>
              <w:rPr>
                <w:rFonts w:hint="eastAsia"/>
                <w:sz w:val="24"/>
                <w:szCs w:val="24"/>
              </w:rPr>
              <w:t>企业要严格按照规范要求的报废农机拆解流程进行拆解作业，企业应向农机生产企业要求获得拆解手册及相关技术信息。从事拆解操作的工人必须经培训合格后持证上岗。</w:t>
            </w:r>
          </w:p>
          <w:p>
            <w:pPr>
              <w:snapToGrid w:val="0"/>
              <w:spacing w:line="360" w:lineRule="auto"/>
              <w:ind w:firstLine="480" w:firstLineChars="200"/>
              <w:rPr>
                <w:sz w:val="24"/>
                <w:szCs w:val="24"/>
              </w:rPr>
            </w:pPr>
            <w:r>
              <w:rPr>
                <w:rFonts w:hint="eastAsia"/>
                <w:sz w:val="24"/>
                <w:szCs w:val="24"/>
              </w:rPr>
              <w:t>废油液等液体危险废物回收过程中应规范化操作，严格按照操作规程进行，尽量避兔“跑、置、滴、漏”现象；废</w:t>
            </w:r>
            <w:r>
              <w:rPr>
                <w:rFonts w:hint="eastAsia"/>
                <w:sz w:val="24"/>
                <w:szCs w:val="24"/>
                <w:lang w:eastAsia="zh-CN"/>
              </w:rPr>
              <w:t>蓄</w:t>
            </w:r>
            <w:r>
              <w:rPr>
                <w:rFonts w:hint="eastAsia"/>
                <w:sz w:val="24"/>
                <w:szCs w:val="24"/>
              </w:rPr>
              <w:t>电池、废含汞开关、废电容器等应首先进行拆除，拆解废含汞开关时，应注意不要弄破装汞的囊。</w:t>
            </w:r>
          </w:p>
          <w:p>
            <w:pPr>
              <w:snapToGrid w:val="0"/>
              <w:spacing w:line="360" w:lineRule="auto"/>
              <w:ind w:firstLine="482" w:firstLineChars="200"/>
              <w:rPr>
                <w:b/>
                <w:bCs/>
                <w:sz w:val="24"/>
                <w:szCs w:val="24"/>
              </w:rPr>
            </w:pPr>
            <w:r>
              <w:rPr>
                <w:rFonts w:hint="eastAsia"/>
                <w:b/>
                <w:bCs/>
                <w:sz w:val="24"/>
                <w:szCs w:val="24"/>
              </w:rPr>
              <w:t>②危险废物贮存方式</w:t>
            </w:r>
          </w:p>
          <w:p>
            <w:pPr>
              <w:snapToGrid w:val="0"/>
              <w:spacing w:line="360" w:lineRule="auto"/>
              <w:ind w:firstLine="480" w:firstLineChars="200"/>
              <w:rPr>
                <w:sz w:val="24"/>
                <w:szCs w:val="24"/>
              </w:rPr>
            </w:pPr>
            <w:r>
              <w:rPr>
                <w:rFonts w:hint="eastAsia"/>
                <w:sz w:val="24"/>
                <w:szCs w:val="24"/>
              </w:rPr>
              <w:t>1）危险废物贮存方法</w:t>
            </w:r>
          </w:p>
          <w:p>
            <w:pPr>
              <w:snapToGrid w:val="0"/>
              <w:spacing w:line="360" w:lineRule="auto"/>
              <w:ind w:firstLine="480" w:firstLineChars="200"/>
              <w:rPr>
                <w:sz w:val="24"/>
                <w:szCs w:val="24"/>
              </w:rPr>
            </w:pPr>
            <w:r>
              <w:rPr>
                <w:rFonts w:hint="eastAsia"/>
                <w:sz w:val="24"/>
                <w:szCs w:val="24"/>
              </w:rPr>
              <w:t>a.不同类别按其相容性原则建造专用的危险废物贮存设施。</w:t>
            </w:r>
          </w:p>
          <w:p>
            <w:pPr>
              <w:snapToGrid w:val="0"/>
              <w:spacing w:line="360" w:lineRule="auto"/>
              <w:ind w:firstLine="480" w:firstLineChars="200"/>
              <w:rPr>
                <w:sz w:val="24"/>
                <w:szCs w:val="24"/>
              </w:rPr>
            </w:pPr>
            <w:r>
              <w:rPr>
                <w:rFonts w:hint="eastAsia"/>
                <w:sz w:val="24"/>
                <w:szCs w:val="24"/>
              </w:rPr>
              <w:t>b.在常温常压下不水解、不挥发的固体危险废物在贮存设施内分别堆放，其他危险废物装入容器内。</w:t>
            </w:r>
          </w:p>
          <w:p>
            <w:pPr>
              <w:snapToGrid w:val="0"/>
              <w:spacing w:line="360" w:lineRule="auto"/>
              <w:ind w:firstLine="480" w:firstLineChars="200"/>
              <w:rPr>
                <w:sz w:val="24"/>
                <w:szCs w:val="24"/>
              </w:rPr>
            </w:pPr>
            <w:r>
              <w:rPr>
                <w:rFonts w:hint="eastAsia"/>
                <w:sz w:val="24"/>
                <w:szCs w:val="24"/>
              </w:rPr>
              <w:t>c.同一容器内不混装不相容（相互反应）的危险废物。</w:t>
            </w:r>
          </w:p>
          <w:p>
            <w:pPr>
              <w:snapToGrid w:val="0"/>
              <w:spacing w:line="360" w:lineRule="auto"/>
              <w:ind w:firstLine="480" w:firstLineChars="200"/>
              <w:rPr>
                <w:sz w:val="24"/>
                <w:szCs w:val="24"/>
              </w:rPr>
            </w:pPr>
            <w:r>
              <w:rPr>
                <w:rFonts w:hint="eastAsia"/>
                <w:sz w:val="24"/>
                <w:szCs w:val="24"/>
              </w:rPr>
              <w:t>d.无法装入常用容器的危险废物用防漏胶带等盛装。</w:t>
            </w:r>
          </w:p>
          <w:p>
            <w:pPr>
              <w:snapToGrid w:val="0"/>
              <w:spacing w:line="360" w:lineRule="auto"/>
              <w:ind w:firstLine="480" w:firstLineChars="200"/>
              <w:rPr>
                <w:sz w:val="24"/>
                <w:szCs w:val="24"/>
              </w:rPr>
            </w:pPr>
            <w:r>
              <w:rPr>
                <w:rFonts w:hint="eastAsia"/>
                <w:sz w:val="24"/>
                <w:szCs w:val="24"/>
              </w:rPr>
              <w:t>e. 装载废油液、烟油污泥等液体、半固体危险废物的容器内留足够空间，容器顶部与液体表面之间保留 100 毫米以上的空间。</w:t>
            </w:r>
          </w:p>
          <w:p>
            <w:pPr>
              <w:snapToGrid w:val="0"/>
              <w:spacing w:line="360" w:lineRule="auto"/>
              <w:ind w:firstLine="480" w:firstLineChars="200"/>
              <w:rPr>
                <w:sz w:val="24"/>
                <w:szCs w:val="24"/>
              </w:rPr>
            </w:pPr>
            <w:r>
              <w:rPr>
                <w:rFonts w:hint="eastAsia"/>
                <w:sz w:val="24"/>
                <w:szCs w:val="24"/>
              </w:rPr>
              <w:t>f.盛装危险废物的容器上粘贴符合国家相关标准的标签。</w:t>
            </w:r>
          </w:p>
          <w:p>
            <w:pPr>
              <w:snapToGrid w:val="0"/>
              <w:spacing w:line="360" w:lineRule="auto"/>
              <w:ind w:firstLine="480" w:firstLineChars="200"/>
              <w:rPr>
                <w:sz w:val="24"/>
                <w:szCs w:val="24"/>
              </w:rPr>
            </w:pPr>
            <w:r>
              <w:rPr>
                <w:rFonts w:hint="eastAsia"/>
                <w:sz w:val="24"/>
                <w:szCs w:val="24"/>
              </w:rPr>
              <w:t>2）危险废物贮存容器</w:t>
            </w:r>
          </w:p>
          <w:p>
            <w:pPr>
              <w:snapToGrid w:val="0"/>
              <w:spacing w:line="360" w:lineRule="auto"/>
              <w:ind w:firstLine="480" w:firstLineChars="200"/>
              <w:rPr>
                <w:sz w:val="24"/>
                <w:szCs w:val="24"/>
              </w:rPr>
            </w:pPr>
            <w:r>
              <w:rPr>
                <w:rFonts w:hint="eastAsia"/>
                <w:sz w:val="24"/>
                <w:szCs w:val="24"/>
              </w:rPr>
              <w:t>a.使用符合标准的容器盛装危险废物。</w:t>
            </w:r>
          </w:p>
          <w:p>
            <w:pPr>
              <w:snapToGrid w:val="0"/>
              <w:spacing w:line="360" w:lineRule="auto"/>
              <w:ind w:firstLine="480" w:firstLineChars="200"/>
              <w:rPr>
                <w:sz w:val="24"/>
                <w:szCs w:val="24"/>
              </w:rPr>
            </w:pPr>
            <w:r>
              <w:rPr>
                <w:rFonts w:hint="eastAsia"/>
                <w:sz w:val="24"/>
                <w:szCs w:val="24"/>
              </w:rPr>
              <w:t>b.装载危险废物的容器及材质要满足相应的强度要求。</w:t>
            </w:r>
          </w:p>
          <w:p>
            <w:pPr>
              <w:snapToGrid w:val="0"/>
              <w:spacing w:line="360" w:lineRule="auto"/>
              <w:ind w:firstLine="480" w:firstLineChars="200"/>
              <w:rPr>
                <w:sz w:val="24"/>
                <w:szCs w:val="24"/>
              </w:rPr>
            </w:pPr>
            <w:r>
              <w:rPr>
                <w:rFonts w:hint="eastAsia"/>
                <w:sz w:val="24"/>
                <w:szCs w:val="24"/>
              </w:rPr>
              <w:t>c.装载危险废物的容器必须完好无损。</w:t>
            </w:r>
          </w:p>
          <w:p>
            <w:pPr>
              <w:snapToGrid w:val="0"/>
              <w:spacing w:line="360" w:lineRule="auto"/>
              <w:ind w:firstLine="480" w:firstLineChars="200"/>
              <w:rPr>
                <w:sz w:val="24"/>
                <w:szCs w:val="24"/>
              </w:rPr>
            </w:pPr>
            <w:r>
              <w:rPr>
                <w:rFonts w:hint="eastAsia"/>
                <w:sz w:val="24"/>
                <w:szCs w:val="24"/>
              </w:rPr>
              <w:t>d.盛装危险废物的容器材质和衬里要与危险废物相容。</w:t>
            </w:r>
          </w:p>
          <w:p>
            <w:pPr>
              <w:snapToGrid w:val="0"/>
              <w:spacing w:line="360" w:lineRule="auto"/>
              <w:ind w:firstLine="480" w:firstLineChars="200"/>
              <w:rPr>
                <w:sz w:val="24"/>
                <w:szCs w:val="24"/>
              </w:rPr>
            </w:pPr>
            <w:r>
              <w:rPr>
                <w:rFonts w:hint="eastAsia"/>
                <w:sz w:val="24"/>
                <w:szCs w:val="24"/>
              </w:rPr>
              <w:t>e.液体危险废物容器放气孔开孔直径不超过 70mm。</w:t>
            </w:r>
          </w:p>
          <w:p>
            <w:pPr>
              <w:snapToGrid w:val="0"/>
              <w:spacing w:line="360" w:lineRule="auto"/>
              <w:ind w:firstLine="482" w:firstLineChars="200"/>
              <w:rPr>
                <w:b/>
                <w:bCs/>
                <w:sz w:val="24"/>
                <w:szCs w:val="24"/>
              </w:rPr>
            </w:pPr>
            <w:r>
              <w:rPr>
                <w:rFonts w:hint="eastAsia"/>
                <w:b/>
                <w:bCs/>
                <w:sz w:val="24"/>
                <w:szCs w:val="24"/>
              </w:rPr>
              <w:t>③危废储存管理措施</w:t>
            </w:r>
          </w:p>
          <w:p>
            <w:pPr>
              <w:pStyle w:val="10"/>
              <w:spacing w:after="0" w:line="360" w:lineRule="auto"/>
              <w:ind w:firstLine="480" w:firstLineChars="200"/>
              <w:rPr>
                <w:sz w:val="24"/>
                <w:szCs w:val="24"/>
              </w:rPr>
            </w:pPr>
            <w:r>
              <w:rPr>
                <w:rFonts w:hint="eastAsia"/>
                <w:sz w:val="24"/>
                <w:szCs w:val="24"/>
              </w:rPr>
              <w:t>拆解过程产生的危险废物应按照类别分别放置在专门的收集容器和贮存设施内，有废物识别标志、标明具体物质名称，并设置危险废物示标志。</w:t>
            </w:r>
          </w:p>
          <w:p>
            <w:pPr>
              <w:snapToGrid w:val="0"/>
              <w:spacing w:line="360" w:lineRule="auto"/>
              <w:ind w:firstLine="480" w:firstLineChars="200"/>
              <w:rPr>
                <w:sz w:val="24"/>
                <w:szCs w:val="24"/>
              </w:rPr>
            </w:pPr>
            <w:r>
              <w:rPr>
                <w:rFonts w:hint="eastAsia"/>
                <w:sz w:val="24"/>
                <w:szCs w:val="24"/>
              </w:rPr>
              <w:t>建设单位应对回收的危险废物进行记录，记录内容包括:危险废物名称、来源、数量、特性和收集容器的类别、入室日期、存放地点、出室时间以及回收单位名称，档案和数据库的期限为3年。定期检查各收集容器有无破漏、渗漏和污染,发现破损，应及时采取措施清理更换。同时，公司应设置专门的危废管理人员，应对危险废物的相关情况及时向环保部门申报登记。登记事项发生变化的，应当在变化前15且内向原登记部门重新电报登记。</w:t>
            </w:r>
          </w:p>
          <w:p>
            <w:pPr>
              <w:pStyle w:val="10"/>
              <w:spacing w:after="0" w:line="360" w:lineRule="auto"/>
              <w:ind w:firstLine="480" w:firstLineChars="200"/>
              <w:rPr>
                <w:sz w:val="24"/>
                <w:szCs w:val="24"/>
              </w:rPr>
            </w:pPr>
            <w:r>
              <w:rPr>
                <w:rFonts w:hint="eastAsia"/>
                <w:sz w:val="24"/>
                <w:szCs w:val="24"/>
              </w:rPr>
              <w:t>评价要求拆解产生的各种危险废物在厂区内的贮存时间最长不得超过三个月，根据危废暂存间储存容量及时交由有相应资质的处置单位清运。</w:t>
            </w:r>
          </w:p>
          <w:p>
            <w:pPr>
              <w:snapToGrid w:val="0"/>
              <w:spacing w:line="360" w:lineRule="auto"/>
              <w:ind w:firstLine="482" w:firstLineChars="200"/>
              <w:rPr>
                <w:sz w:val="24"/>
                <w:szCs w:val="24"/>
              </w:rPr>
            </w:pPr>
            <w:r>
              <w:rPr>
                <w:rFonts w:hint="eastAsia"/>
                <w:b/>
                <w:bCs/>
                <w:sz w:val="24"/>
                <w:szCs w:val="24"/>
              </w:rPr>
              <w:t>④危险废物转移及运输管理措施</w:t>
            </w:r>
          </w:p>
          <w:p>
            <w:pPr>
              <w:snapToGrid w:val="0"/>
              <w:spacing w:line="360" w:lineRule="auto"/>
              <w:ind w:firstLine="480" w:firstLineChars="200"/>
              <w:rPr>
                <w:sz w:val="24"/>
                <w:szCs w:val="24"/>
              </w:rPr>
            </w:pPr>
            <w:r>
              <w:rPr>
                <w:rFonts w:hint="eastAsia"/>
                <w:sz w:val="24"/>
                <w:szCs w:val="24"/>
              </w:rPr>
              <w:t>各类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w:t>
            </w:r>
          </w:p>
          <w:p>
            <w:pPr>
              <w:pStyle w:val="10"/>
              <w:spacing w:after="0" w:line="360" w:lineRule="auto"/>
              <w:ind w:firstLine="480" w:firstLineChars="200"/>
              <w:rPr>
                <w:sz w:val="24"/>
                <w:szCs w:val="24"/>
              </w:rPr>
            </w:pPr>
            <w:r>
              <w:rPr>
                <w:rFonts w:hint="eastAsia"/>
                <w:sz w:val="24"/>
                <w:szCs w:val="24"/>
              </w:rPr>
              <w:t>在外运危险废物的时候，企业负有以下责任:企业应根据危险废物的性质、成份、形态及污染防治和安全防护要求，选择安全的包装材料并进行分类包装;向危险废物运输者和接受者说明危险废物转移过程中污染防治和安全防护的要求，应对突发事故的措施，以及应当配备的必要的应急处理器材和防护用品；在所有待运危险废物的容器或储罐的醒目处清晰地粘贴符合国家有关标准规范的危险废物标识和标签；负责将包装完好的危险废物连同转移联单交付运输者,并负责装载待转移的危险废物，避兔性质不相容的危险废物混装，避兔因装载活动造成对环境的危害。</w:t>
            </w:r>
          </w:p>
          <w:p>
            <w:pPr>
              <w:snapToGrid w:val="0"/>
              <w:spacing w:line="360" w:lineRule="auto"/>
              <w:ind w:firstLine="480" w:firstLineChars="200"/>
              <w:rPr>
                <w:sz w:val="24"/>
                <w:szCs w:val="24"/>
              </w:rPr>
            </w:pPr>
            <w:r>
              <w:rPr>
                <w:rFonts w:hint="eastAsia"/>
                <w:sz w:val="24"/>
                <w:szCs w:val="24"/>
              </w:rPr>
              <w:t>危险废物的转运应严格按照《危险废物管理条例》中贮存、运输、处理规定进行。在危险废物的处置过程中，应做好每次外运处置时的运输登记，认真填写危险废物转移联单；运输人员必须掌握危险废物运输的安全知识，了解其性质、危险特征、包装容器的使用特性和发生意外的应急措施。运输车辆必须具有车辆危险货物运输许可证。驾驶人员必须由取得驾驶执照的熟练人员担任。危险废物运输时必须配备押运人员，并按照行车路线行驶，不得进入危险化学品运输车辆禁止通过的区域。</w:t>
            </w:r>
          </w:p>
          <w:p>
            <w:pPr>
              <w:pStyle w:val="10"/>
              <w:spacing w:after="0" w:line="360" w:lineRule="auto"/>
              <w:ind w:firstLine="482" w:firstLineChars="200"/>
              <w:rPr>
                <w:b/>
                <w:bCs/>
                <w:sz w:val="24"/>
                <w:szCs w:val="24"/>
              </w:rPr>
            </w:pPr>
            <w:r>
              <w:rPr>
                <w:rFonts w:hint="eastAsia"/>
                <w:b/>
                <w:bCs/>
                <w:sz w:val="24"/>
                <w:szCs w:val="24"/>
              </w:rPr>
              <w:t>⑤危废间废气处理设施</w:t>
            </w:r>
          </w:p>
          <w:p>
            <w:pPr>
              <w:pStyle w:val="10"/>
              <w:spacing w:after="0" w:line="360" w:lineRule="auto"/>
              <w:ind w:firstLine="480" w:firstLineChars="200"/>
              <w:rPr>
                <w:sz w:val="24"/>
                <w:szCs w:val="24"/>
              </w:rPr>
            </w:pPr>
            <w:r>
              <w:rPr>
                <w:rFonts w:hint="eastAsia"/>
                <w:sz w:val="24"/>
                <w:szCs w:val="24"/>
              </w:rPr>
              <w:t>本项目危险废物暂存间设置集气装置，在事故状态下将挥发性有机物（以非甲烷总烃计）收集，连接至活性炭吸附装置进行处理，经处理达标后通过15m高的DA001排气筒排放。</w:t>
            </w:r>
          </w:p>
          <w:p>
            <w:pPr>
              <w:pStyle w:val="10"/>
              <w:spacing w:after="0" w:line="360" w:lineRule="auto"/>
              <w:ind w:firstLine="482" w:firstLineChars="200"/>
              <w:rPr>
                <w:rFonts w:hint="eastAsia"/>
                <w:b/>
                <w:bCs/>
                <w:sz w:val="24"/>
                <w:szCs w:val="24"/>
              </w:rPr>
            </w:pPr>
            <w:r>
              <w:rPr>
                <w:rFonts w:hint="eastAsia"/>
                <w:b/>
                <w:bCs/>
                <w:sz w:val="24"/>
                <w:szCs w:val="24"/>
                <w:lang w:eastAsia="zh-CN"/>
              </w:rPr>
              <w:t>⑥</w:t>
            </w:r>
            <w:r>
              <w:rPr>
                <w:rFonts w:hint="eastAsia"/>
                <w:b/>
                <w:bCs/>
                <w:sz w:val="24"/>
                <w:szCs w:val="24"/>
              </w:rPr>
              <w:t>拆解监控措施</w:t>
            </w:r>
          </w:p>
          <w:p>
            <w:pPr>
              <w:pStyle w:val="10"/>
              <w:spacing w:after="0" w:line="360" w:lineRule="auto"/>
              <w:ind w:firstLine="480" w:firstLineChars="200"/>
              <w:rPr>
                <w:sz w:val="24"/>
                <w:szCs w:val="24"/>
              </w:rPr>
            </w:pPr>
            <w:r>
              <w:rPr>
                <w:rFonts w:hint="eastAsia"/>
                <w:sz w:val="24"/>
                <w:szCs w:val="24"/>
              </w:rPr>
              <w:t>拆解过程实行计算机管理,从报废农机进厂到拆解过程及所有可利用物资的回收入库，都由计算机系统进行数据统计，同时对整个拆解过程实行电子监控，尤其是总成毁形过程，须留有影音资料，从而有效地保证拆解流程的安全规范，确保每台报废农机按规定要求进行拆解。</w:t>
            </w:r>
          </w:p>
          <w:p>
            <w:pPr>
              <w:snapToGrid w:val="0"/>
              <w:spacing w:line="360" w:lineRule="auto"/>
              <w:ind w:firstLine="480" w:firstLineChars="200"/>
              <w:contextualSpacing/>
              <w:rPr>
                <w:rFonts w:hint="eastAsia"/>
                <w:sz w:val="24"/>
                <w:szCs w:val="24"/>
              </w:rPr>
            </w:pPr>
            <w:r>
              <w:rPr>
                <w:rFonts w:hint="eastAsia"/>
                <w:sz w:val="24"/>
                <w:szCs w:val="24"/>
              </w:rPr>
              <w:t>综上所述，经过上述处理处置后，本项目产生的固体废物不会对环境造成二次污染。</w:t>
            </w:r>
          </w:p>
          <w:p>
            <w:pPr>
              <w:snapToGrid w:val="0"/>
              <w:spacing w:line="360" w:lineRule="auto"/>
              <w:ind w:firstLine="482" w:firstLineChars="200"/>
              <w:contextualSpacing/>
              <w:rPr>
                <w:b/>
                <w:bCs/>
                <w:sz w:val="24"/>
                <w:szCs w:val="24"/>
                <w:u w:val="single"/>
              </w:rPr>
            </w:pPr>
            <w:r>
              <w:rPr>
                <w:b/>
                <w:bCs/>
                <w:sz w:val="24"/>
                <w:szCs w:val="24"/>
                <w:u w:val="single"/>
              </w:rPr>
              <w:t>5、</w:t>
            </w:r>
            <w:r>
              <w:rPr>
                <w:rFonts w:hint="eastAsia"/>
                <w:b/>
                <w:bCs/>
                <w:sz w:val="24"/>
                <w:szCs w:val="24"/>
                <w:u w:val="single"/>
              </w:rPr>
              <w:t>土壤、地下水环境影响分析</w:t>
            </w:r>
          </w:p>
          <w:p>
            <w:pPr>
              <w:adjustRightInd w:val="0"/>
              <w:snapToGrid w:val="0"/>
              <w:spacing w:line="360" w:lineRule="auto"/>
              <w:ind w:firstLine="480"/>
              <w:jc w:val="left"/>
              <w:rPr>
                <w:b/>
                <w:bCs/>
                <w:sz w:val="24"/>
                <w:szCs w:val="24"/>
                <w:u w:val="single"/>
              </w:rPr>
            </w:pPr>
            <w:r>
              <w:rPr>
                <w:rFonts w:hint="eastAsia"/>
                <w:b/>
                <w:bCs/>
                <w:sz w:val="24"/>
                <w:szCs w:val="24"/>
                <w:u w:val="single"/>
              </w:rPr>
              <w:t>（1）污染源分析及污染途径</w:t>
            </w:r>
          </w:p>
          <w:p>
            <w:pPr>
              <w:adjustRightInd w:val="0"/>
              <w:snapToGrid w:val="0"/>
              <w:spacing w:line="360" w:lineRule="auto"/>
              <w:ind w:firstLine="480"/>
              <w:jc w:val="left"/>
              <w:rPr>
                <w:sz w:val="24"/>
                <w:szCs w:val="24"/>
                <w:u w:val="single"/>
              </w:rPr>
            </w:pPr>
            <w:r>
              <w:rPr>
                <w:rFonts w:hint="eastAsia"/>
                <w:sz w:val="24"/>
                <w:szCs w:val="24"/>
                <w:u w:val="single"/>
              </w:rPr>
              <w:t>本项目土壤、地下水环境主要污染源为拆解车间、危险废物暂存间存储的危险废物。污染物主要包括石油烃等污染物。</w:t>
            </w:r>
          </w:p>
          <w:p>
            <w:pPr>
              <w:adjustRightInd w:val="0"/>
              <w:snapToGrid w:val="0"/>
              <w:spacing w:line="360" w:lineRule="auto"/>
              <w:ind w:firstLine="480"/>
              <w:jc w:val="left"/>
              <w:rPr>
                <w:sz w:val="24"/>
                <w:szCs w:val="24"/>
                <w:u w:val="single"/>
              </w:rPr>
            </w:pPr>
            <w:r>
              <w:rPr>
                <w:rFonts w:hint="eastAsia"/>
                <w:sz w:val="24"/>
                <w:szCs w:val="24"/>
                <w:u w:val="single"/>
              </w:rPr>
              <w:t>本项目不针对含铅、汞、镉等有毒物质部件进行进一步拆解，故正常情况下不会对地下水、土壤环境产生铅、汞、镉等有毒物质污染。</w:t>
            </w:r>
          </w:p>
          <w:p>
            <w:pPr>
              <w:adjustRightInd w:val="0"/>
              <w:snapToGrid w:val="0"/>
              <w:spacing w:line="360" w:lineRule="auto"/>
              <w:ind w:firstLine="480"/>
              <w:jc w:val="left"/>
              <w:rPr>
                <w:sz w:val="24"/>
                <w:szCs w:val="24"/>
                <w:u w:val="single"/>
              </w:rPr>
            </w:pPr>
            <w:r>
              <w:rPr>
                <w:rFonts w:hint="eastAsia"/>
                <w:sz w:val="24"/>
                <w:szCs w:val="24"/>
                <w:u w:val="single"/>
              </w:rPr>
              <w:t>本项目地下水及土壤主要污染途径为地面径流、垂直入渗。本项目危险废物暂存间内的危险废物（废油液等）如果发生泄漏，会造成一定程度的环境污染。</w:t>
            </w:r>
          </w:p>
          <w:p>
            <w:pPr>
              <w:adjustRightInd w:val="0"/>
              <w:snapToGrid w:val="0"/>
              <w:spacing w:line="360" w:lineRule="auto"/>
              <w:ind w:firstLine="480"/>
              <w:jc w:val="left"/>
              <w:rPr>
                <w:b/>
                <w:bCs/>
                <w:sz w:val="24"/>
                <w:szCs w:val="24"/>
                <w:u w:val="single"/>
              </w:rPr>
            </w:pPr>
            <w:r>
              <w:rPr>
                <w:rFonts w:hint="eastAsia"/>
                <w:b/>
                <w:bCs/>
                <w:sz w:val="24"/>
                <w:szCs w:val="24"/>
                <w:u w:val="single"/>
              </w:rPr>
              <w:t>（2）污染防治措施</w:t>
            </w:r>
          </w:p>
          <w:p>
            <w:pPr>
              <w:adjustRightInd w:val="0"/>
              <w:snapToGrid w:val="0"/>
              <w:spacing w:line="360" w:lineRule="auto"/>
              <w:ind w:firstLine="495"/>
              <w:jc w:val="left"/>
              <w:rPr>
                <w:rFonts w:hint="eastAsia" w:eastAsiaTheme="minorEastAsia"/>
                <w:b w:val="0"/>
                <w:bCs w:val="0"/>
                <w:sz w:val="24"/>
                <w:szCs w:val="24"/>
                <w:u w:val="single"/>
                <w:lang w:eastAsia="zh-CN"/>
              </w:rPr>
            </w:pPr>
            <w:r>
              <w:rPr>
                <w:rFonts w:hint="eastAsia"/>
                <w:b/>
                <w:bCs/>
                <w:sz w:val="24"/>
                <w:szCs w:val="24"/>
                <w:u w:val="single"/>
              </w:rPr>
              <w:t>分区防控</w:t>
            </w:r>
            <w:r>
              <w:rPr>
                <w:rFonts w:hint="eastAsia"/>
                <w:b/>
                <w:bCs/>
                <w:sz w:val="24"/>
                <w:szCs w:val="24"/>
                <w:u w:val="single"/>
                <w:lang w:eastAsia="zh-CN"/>
              </w:rPr>
              <w:t>：</w:t>
            </w:r>
          </w:p>
          <w:p>
            <w:pPr>
              <w:adjustRightInd w:val="0"/>
              <w:snapToGrid w:val="0"/>
              <w:spacing w:line="360" w:lineRule="auto"/>
              <w:ind w:firstLine="495"/>
              <w:jc w:val="left"/>
              <w:rPr>
                <w:sz w:val="24"/>
                <w:szCs w:val="24"/>
                <w:u w:val="single"/>
              </w:rPr>
            </w:pPr>
            <w:r>
              <w:rPr>
                <w:rFonts w:hint="eastAsia"/>
                <w:sz w:val="24"/>
                <w:szCs w:val="24"/>
                <w:u w:val="single"/>
              </w:rPr>
              <w:t>根据不同区域防渗要求，将本项目厂区分为重点防渗区、一般防渗区与简单防渗区。</w:t>
            </w:r>
          </w:p>
          <w:p>
            <w:pPr>
              <w:adjustRightInd w:val="0"/>
              <w:snapToGrid w:val="0"/>
              <w:spacing w:line="360" w:lineRule="auto"/>
              <w:ind w:firstLine="495"/>
              <w:jc w:val="left"/>
              <w:rPr>
                <w:sz w:val="24"/>
                <w:szCs w:val="24"/>
                <w:u w:val="single"/>
              </w:rPr>
            </w:pPr>
            <w:r>
              <w:rPr>
                <w:rFonts w:hint="eastAsia"/>
                <w:sz w:val="24"/>
                <w:szCs w:val="24"/>
                <w:u w:val="single"/>
              </w:rPr>
              <w:t>重点防渗区为拆解车间、废机油收储</w:t>
            </w:r>
            <w:r>
              <w:rPr>
                <w:rFonts w:hint="eastAsia"/>
                <w:sz w:val="24"/>
                <w:szCs w:val="24"/>
                <w:u w:val="single"/>
                <w:lang w:eastAsia="zh-CN"/>
              </w:rPr>
              <w:t>车</w:t>
            </w:r>
            <w:r>
              <w:rPr>
                <w:rFonts w:hint="eastAsia"/>
                <w:sz w:val="24"/>
                <w:szCs w:val="24"/>
                <w:u w:val="single"/>
              </w:rPr>
              <w:t>间</w:t>
            </w:r>
            <w:r>
              <w:rPr>
                <w:rFonts w:hint="eastAsia"/>
                <w:sz w:val="24"/>
                <w:szCs w:val="24"/>
                <w:u w:val="single"/>
                <w:lang w:eastAsia="zh-CN"/>
              </w:rPr>
              <w:t>（又称危废间）、</w:t>
            </w:r>
            <w:r>
              <w:rPr>
                <w:rFonts w:hint="eastAsia"/>
                <w:sz w:val="24"/>
                <w:szCs w:val="24"/>
                <w:u w:val="single"/>
              </w:rPr>
              <w:t>防渗沉淀池</w:t>
            </w:r>
            <w:r>
              <w:rPr>
                <w:rFonts w:hint="eastAsia"/>
                <w:sz w:val="24"/>
                <w:szCs w:val="24"/>
                <w:u w:val="single"/>
                <w:lang w:eastAsia="zh-CN"/>
              </w:rPr>
              <w:t>，</w:t>
            </w:r>
            <w:r>
              <w:rPr>
                <w:rFonts w:hint="eastAsia"/>
                <w:sz w:val="24"/>
                <w:szCs w:val="24"/>
                <w:u w:val="single"/>
              </w:rPr>
              <w:t>防渗技术要求为等效黏土防渗层Mb≥6.0m，K≤1×10-7cm/s，或参照GB18598执行，危废间内的废油液储区分别设置围堰，围堰高度不低于0.15m；</w:t>
            </w:r>
          </w:p>
          <w:p>
            <w:pPr>
              <w:adjustRightInd w:val="0"/>
              <w:snapToGrid w:val="0"/>
              <w:spacing w:line="360" w:lineRule="auto"/>
              <w:ind w:firstLine="495"/>
              <w:jc w:val="left"/>
              <w:rPr>
                <w:sz w:val="24"/>
                <w:szCs w:val="24"/>
                <w:u w:val="single"/>
              </w:rPr>
            </w:pPr>
            <w:r>
              <w:rPr>
                <w:rFonts w:hint="eastAsia"/>
                <w:sz w:val="24"/>
                <w:szCs w:val="24"/>
                <w:u w:val="single"/>
              </w:rPr>
              <w:t>一般防渗区域主要包括</w:t>
            </w:r>
            <w:r>
              <w:rPr>
                <w:rFonts w:hint="eastAsia"/>
                <w:sz w:val="24"/>
                <w:szCs w:val="24"/>
                <w:u w:val="single"/>
                <w:lang w:eastAsia="zh-CN"/>
              </w:rPr>
              <w:t>存车场</w:t>
            </w:r>
            <w:r>
              <w:rPr>
                <w:rFonts w:hint="eastAsia"/>
                <w:sz w:val="24"/>
                <w:szCs w:val="24"/>
                <w:u w:val="single"/>
              </w:rPr>
              <w:t>等区域，防渗技术要求为等效粘土防渗层Mb≥1.5m，K≤1×10-7cm/s。</w:t>
            </w:r>
          </w:p>
          <w:p>
            <w:pPr>
              <w:adjustRightInd w:val="0"/>
              <w:snapToGrid w:val="0"/>
              <w:spacing w:line="360" w:lineRule="auto"/>
              <w:ind w:firstLine="495"/>
              <w:jc w:val="left"/>
              <w:rPr>
                <w:sz w:val="24"/>
                <w:szCs w:val="24"/>
                <w:u w:val="single"/>
              </w:rPr>
            </w:pPr>
            <w:r>
              <w:rPr>
                <w:rFonts w:hint="eastAsia"/>
                <w:sz w:val="24"/>
                <w:szCs w:val="24"/>
                <w:u w:val="single"/>
              </w:rPr>
              <w:t>简单防渗区主要包括拆库</w:t>
            </w:r>
            <w:r>
              <w:rPr>
                <w:rFonts w:hint="eastAsia"/>
                <w:sz w:val="24"/>
                <w:szCs w:val="24"/>
                <w:u w:val="single"/>
                <w:lang w:eastAsia="zh-CN"/>
              </w:rPr>
              <w:t>房</w:t>
            </w:r>
            <w:r>
              <w:rPr>
                <w:rFonts w:hint="eastAsia"/>
                <w:sz w:val="24"/>
                <w:szCs w:val="24"/>
                <w:u w:val="single"/>
              </w:rPr>
              <w:t>、</w:t>
            </w:r>
            <w:r>
              <w:rPr>
                <w:rFonts w:hint="eastAsia"/>
                <w:sz w:val="24"/>
                <w:szCs w:val="24"/>
                <w:u w:val="single"/>
                <w:lang w:eastAsia="zh-CN"/>
              </w:rPr>
              <w:t>办公楼等</w:t>
            </w:r>
            <w:r>
              <w:rPr>
                <w:rFonts w:hint="eastAsia"/>
                <w:sz w:val="24"/>
                <w:szCs w:val="24"/>
                <w:u w:val="single"/>
              </w:rPr>
              <w:t>区域，防渗技术要求为一般地面硬化。</w:t>
            </w:r>
          </w:p>
          <w:p>
            <w:pPr>
              <w:adjustRightInd w:val="0"/>
              <w:snapToGrid w:val="0"/>
              <w:spacing w:line="360" w:lineRule="auto"/>
              <w:ind w:firstLine="495"/>
              <w:jc w:val="left"/>
              <w:rPr>
                <w:u w:val="single"/>
              </w:rPr>
            </w:pPr>
            <w:r>
              <w:rPr>
                <w:rFonts w:hint="eastAsia"/>
                <w:sz w:val="24"/>
                <w:szCs w:val="24"/>
                <w:u w:val="single"/>
              </w:rPr>
              <w:t>重点防渗区需设置围堰，各防渗区应设置防风、风雨防晒设备，防止风雨天气雨淋形成地表径流导致影响地下水和土壤环境。</w:t>
            </w:r>
          </w:p>
          <w:p>
            <w:pPr>
              <w:adjustRightInd w:val="0"/>
              <w:snapToGrid w:val="0"/>
              <w:spacing w:line="360" w:lineRule="auto"/>
              <w:ind w:firstLine="495"/>
              <w:jc w:val="left"/>
              <w:rPr>
                <w:sz w:val="24"/>
                <w:szCs w:val="24"/>
                <w:u w:val="single"/>
              </w:rPr>
            </w:pPr>
            <w:r>
              <w:rPr>
                <w:rFonts w:hint="eastAsia"/>
                <w:sz w:val="24"/>
                <w:szCs w:val="24"/>
                <w:u w:val="single"/>
              </w:rPr>
              <w:t>各防渗区防渗技术要求及防渗措施详见下表：</w:t>
            </w:r>
          </w:p>
          <w:p>
            <w:pPr>
              <w:pStyle w:val="33"/>
              <w:numPr>
                <w:ilvl w:val="0"/>
                <w:numId w:val="0"/>
              </w:numPr>
              <w:spacing w:line="360" w:lineRule="auto"/>
              <w:rPr>
                <w:sz w:val="24"/>
                <w:szCs w:val="24"/>
                <w:u w:val="single"/>
              </w:rPr>
            </w:pPr>
            <w:r>
              <w:rPr>
                <w:rFonts w:hint="eastAsia"/>
                <w:sz w:val="24"/>
                <w:szCs w:val="24"/>
                <w:u w:val="single"/>
              </w:rPr>
              <w:t>表5</w:t>
            </w:r>
            <w:r>
              <w:rPr>
                <w:rFonts w:hint="eastAsia"/>
                <w:sz w:val="24"/>
                <w:szCs w:val="24"/>
                <w:u w:val="single"/>
                <w:lang w:val="en-US" w:eastAsia="zh-CN"/>
              </w:rPr>
              <w:t>0</w:t>
            </w:r>
            <w:r>
              <w:rPr>
                <w:rFonts w:hint="eastAsia"/>
                <w:sz w:val="24"/>
                <w:szCs w:val="24"/>
                <w:u w:val="single"/>
              </w:rPr>
              <w:t xml:space="preserve">  </w:t>
            </w:r>
            <w:r>
              <w:rPr>
                <w:sz w:val="24"/>
                <w:szCs w:val="24"/>
                <w:u w:val="single"/>
              </w:rPr>
              <w:t>危险性识别一览表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67"/>
              <w:gridCol w:w="1103"/>
              <w:gridCol w:w="2183"/>
              <w:gridCol w:w="3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9" w:type="pct"/>
                  <w:noWrap/>
                  <w:vAlign w:val="center"/>
                </w:tcPr>
                <w:p>
                  <w:pPr>
                    <w:pStyle w:val="106"/>
                    <w:spacing w:before="0" w:line="240" w:lineRule="auto"/>
                    <w:ind w:firstLine="0" w:firstLineChars="0"/>
                    <w:jc w:val="center"/>
                    <w:rPr>
                      <w:b/>
                      <w:bCs/>
                      <w:sz w:val="21"/>
                      <w:szCs w:val="21"/>
                      <w:u w:val="single"/>
                    </w:rPr>
                  </w:pPr>
                  <w:r>
                    <w:rPr>
                      <w:rFonts w:hint="eastAsia"/>
                      <w:b/>
                      <w:bCs/>
                      <w:sz w:val="21"/>
                      <w:szCs w:val="21"/>
                      <w:u w:val="single"/>
                    </w:rPr>
                    <w:t>序号</w:t>
                  </w:r>
                </w:p>
              </w:tc>
              <w:tc>
                <w:tcPr>
                  <w:tcW w:w="603" w:type="pct"/>
                  <w:noWrap/>
                  <w:vAlign w:val="center"/>
                </w:tcPr>
                <w:p>
                  <w:pPr>
                    <w:pStyle w:val="106"/>
                    <w:spacing w:before="0" w:line="240" w:lineRule="auto"/>
                    <w:ind w:firstLine="0" w:firstLineChars="0"/>
                    <w:jc w:val="center"/>
                    <w:rPr>
                      <w:b/>
                      <w:bCs/>
                      <w:sz w:val="21"/>
                      <w:szCs w:val="21"/>
                      <w:u w:val="single"/>
                    </w:rPr>
                  </w:pPr>
                  <w:r>
                    <w:rPr>
                      <w:rFonts w:hint="eastAsia"/>
                      <w:b/>
                      <w:bCs/>
                      <w:sz w:val="21"/>
                      <w:szCs w:val="21"/>
                      <w:u w:val="single"/>
                    </w:rPr>
                    <w:t>场地</w:t>
                  </w:r>
                </w:p>
              </w:tc>
              <w:tc>
                <w:tcPr>
                  <w:tcW w:w="688" w:type="pct"/>
                  <w:noWrap/>
                  <w:vAlign w:val="center"/>
                </w:tcPr>
                <w:p>
                  <w:pPr>
                    <w:pStyle w:val="106"/>
                    <w:spacing w:before="0" w:line="240" w:lineRule="auto"/>
                    <w:ind w:firstLine="0" w:firstLineChars="0"/>
                    <w:jc w:val="center"/>
                    <w:rPr>
                      <w:b/>
                      <w:bCs/>
                      <w:sz w:val="21"/>
                      <w:szCs w:val="21"/>
                      <w:u w:val="single"/>
                    </w:rPr>
                  </w:pPr>
                  <w:r>
                    <w:rPr>
                      <w:rFonts w:hint="eastAsia"/>
                      <w:b/>
                      <w:bCs/>
                      <w:sz w:val="21"/>
                      <w:szCs w:val="21"/>
                      <w:u w:val="single"/>
                    </w:rPr>
                    <w:t>防渗分区</w:t>
                  </w:r>
                </w:p>
              </w:tc>
              <w:tc>
                <w:tcPr>
                  <w:tcW w:w="1361" w:type="pct"/>
                  <w:noWrap/>
                  <w:vAlign w:val="center"/>
                </w:tcPr>
                <w:p>
                  <w:pPr>
                    <w:pStyle w:val="106"/>
                    <w:spacing w:before="0" w:line="240" w:lineRule="auto"/>
                    <w:ind w:firstLine="0" w:firstLineChars="0"/>
                    <w:jc w:val="center"/>
                    <w:rPr>
                      <w:b/>
                      <w:bCs/>
                      <w:sz w:val="21"/>
                      <w:szCs w:val="21"/>
                      <w:u w:val="single"/>
                    </w:rPr>
                  </w:pPr>
                  <w:r>
                    <w:rPr>
                      <w:rFonts w:hint="eastAsia"/>
                      <w:b/>
                      <w:bCs/>
                      <w:sz w:val="21"/>
                      <w:szCs w:val="21"/>
                      <w:u w:val="single"/>
                    </w:rPr>
                    <w:t>防渗技术要求</w:t>
                  </w:r>
                </w:p>
              </w:tc>
              <w:tc>
                <w:tcPr>
                  <w:tcW w:w="1897" w:type="pct"/>
                  <w:noWrap/>
                  <w:vAlign w:val="center"/>
                </w:tcPr>
                <w:p>
                  <w:pPr>
                    <w:pStyle w:val="106"/>
                    <w:spacing w:before="0" w:line="240" w:lineRule="auto"/>
                    <w:ind w:firstLine="0" w:firstLineChars="0"/>
                    <w:jc w:val="center"/>
                    <w:rPr>
                      <w:b/>
                      <w:bCs/>
                      <w:sz w:val="21"/>
                      <w:szCs w:val="21"/>
                      <w:u w:val="single"/>
                    </w:rPr>
                  </w:pPr>
                  <w:r>
                    <w:rPr>
                      <w:rFonts w:hint="eastAsia"/>
                      <w:b/>
                      <w:bCs/>
                      <w:sz w:val="21"/>
                      <w:szCs w:val="21"/>
                      <w:u w:val="single"/>
                    </w:rPr>
                    <w:t>采取的防渗处理措施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9"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1</w:t>
                  </w:r>
                </w:p>
              </w:tc>
              <w:tc>
                <w:tcPr>
                  <w:tcW w:w="603"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拆解车间、废机油收储车间（危废暂存间）、沉淀池</w:t>
                  </w:r>
                </w:p>
              </w:tc>
              <w:tc>
                <w:tcPr>
                  <w:tcW w:w="688"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重点</w:t>
                  </w:r>
                </w:p>
                <w:p>
                  <w:pPr>
                    <w:pStyle w:val="106"/>
                    <w:spacing w:before="0" w:line="240" w:lineRule="auto"/>
                    <w:ind w:firstLine="0" w:firstLineChars="0"/>
                    <w:jc w:val="center"/>
                    <w:rPr>
                      <w:sz w:val="21"/>
                      <w:szCs w:val="21"/>
                      <w:u w:val="single"/>
                    </w:rPr>
                  </w:pPr>
                  <w:r>
                    <w:rPr>
                      <w:rFonts w:hint="eastAsia"/>
                      <w:sz w:val="21"/>
                      <w:szCs w:val="21"/>
                      <w:u w:val="single"/>
                    </w:rPr>
                    <w:t>防渗区</w:t>
                  </w:r>
                </w:p>
              </w:tc>
              <w:tc>
                <w:tcPr>
                  <w:tcW w:w="1361"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Mb≥6.0m，K≤1×10-7cm/s，或参照GB18598执行</w:t>
                  </w:r>
                </w:p>
              </w:tc>
              <w:tc>
                <w:tcPr>
                  <w:tcW w:w="1897" w:type="pct"/>
                  <w:noWrap/>
                  <w:vAlign w:val="center"/>
                </w:tcPr>
                <w:p>
                  <w:pPr>
                    <w:pStyle w:val="106"/>
                    <w:spacing w:before="0" w:line="240" w:lineRule="auto"/>
                    <w:ind w:firstLine="0" w:firstLineChars="0"/>
                    <w:jc w:val="left"/>
                    <w:rPr>
                      <w:sz w:val="21"/>
                      <w:szCs w:val="21"/>
                      <w:u w:val="single"/>
                    </w:rPr>
                  </w:pPr>
                  <w:r>
                    <w:rPr>
                      <w:rFonts w:hint="eastAsia"/>
                      <w:sz w:val="21"/>
                      <w:szCs w:val="21"/>
                      <w:u w:val="single"/>
                    </w:rPr>
                    <w:t>采用2mmHDPE膜+30cm防渗混凝土层，强度等级为C30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9"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2</w:t>
                  </w:r>
                </w:p>
              </w:tc>
              <w:tc>
                <w:tcPr>
                  <w:tcW w:w="603"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存车区</w:t>
                  </w:r>
                </w:p>
              </w:tc>
              <w:tc>
                <w:tcPr>
                  <w:tcW w:w="688"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一般</w:t>
                  </w:r>
                </w:p>
                <w:p>
                  <w:pPr>
                    <w:pStyle w:val="106"/>
                    <w:spacing w:before="0" w:line="240" w:lineRule="auto"/>
                    <w:ind w:firstLine="0" w:firstLineChars="0"/>
                    <w:jc w:val="center"/>
                    <w:rPr>
                      <w:sz w:val="21"/>
                      <w:szCs w:val="21"/>
                      <w:u w:val="single"/>
                    </w:rPr>
                  </w:pPr>
                  <w:r>
                    <w:rPr>
                      <w:rFonts w:hint="eastAsia"/>
                      <w:sz w:val="21"/>
                      <w:szCs w:val="21"/>
                      <w:u w:val="single"/>
                    </w:rPr>
                    <w:t>防渗区</w:t>
                  </w:r>
                </w:p>
              </w:tc>
              <w:tc>
                <w:tcPr>
                  <w:tcW w:w="1361"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等效粘土防渗层Mb≥1.5m，K≤1×10-7cm/s，或参照GB16889执行</w:t>
                  </w:r>
                </w:p>
              </w:tc>
              <w:tc>
                <w:tcPr>
                  <w:tcW w:w="1897" w:type="pct"/>
                  <w:noWrap/>
                  <w:vAlign w:val="center"/>
                </w:tcPr>
                <w:p>
                  <w:pPr>
                    <w:pStyle w:val="106"/>
                    <w:spacing w:before="0" w:line="240" w:lineRule="auto"/>
                    <w:ind w:firstLine="0" w:firstLineChars="0"/>
                    <w:jc w:val="left"/>
                    <w:rPr>
                      <w:sz w:val="21"/>
                      <w:szCs w:val="21"/>
                      <w:u w:val="single"/>
                    </w:rPr>
                  </w:pPr>
                  <w:r>
                    <w:rPr>
                      <w:rFonts w:hint="eastAsia"/>
                      <w:sz w:val="21"/>
                      <w:szCs w:val="21"/>
                      <w:u w:val="single"/>
                    </w:rPr>
                    <w:t>钢筋混凝土地面，地面及裙角为混凝土，强度等级为C30，抗渗等级为P6，表面刷防腐防渗涂料。垫层为强度等级为C10的混凝土，基础土分层夯实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9"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3</w:t>
                  </w:r>
                </w:p>
              </w:tc>
              <w:tc>
                <w:tcPr>
                  <w:tcW w:w="603" w:type="pct"/>
                  <w:noWrap/>
                  <w:vAlign w:val="center"/>
                </w:tcPr>
                <w:p>
                  <w:pPr>
                    <w:pStyle w:val="106"/>
                    <w:spacing w:before="0" w:line="240" w:lineRule="auto"/>
                    <w:ind w:firstLine="0" w:firstLineChars="0"/>
                    <w:jc w:val="center"/>
                    <w:rPr>
                      <w:rFonts w:hint="eastAsia" w:eastAsiaTheme="minorEastAsia"/>
                      <w:sz w:val="21"/>
                      <w:szCs w:val="21"/>
                      <w:u w:val="single"/>
                      <w:lang w:eastAsia="zh-CN"/>
                    </w:rPr>
                  </w:pPr>
                  <w:r>
                    <w:rPr>
                      <w:rFonts w:hint="eastAsia"/>
                      <w:sz w:val="21"/>
                      <w:szCs w:val="21"/>
                      <w:u w:val="single"/>
                    </w:rPr>
                    <w:t>办公楼、库</w:t>
                  </w:r>
                  <w:r>
                    <w:rPr>
                      <w:rFonts w:hint="eastAsia"/>
                      <w:sz w:val="21"/>
                      <w:szCs w:val="21"/>
                      <w:u w:val="single"/>
                      <w:lang w:eastAsia="zh-CN"/>
                    </w:rPr>
                    <w:t>房</w:t>
                  </w:r>
                </w:p>
              </w:tc>
              <w:tc>
                <w:tcPr>
                  <w:tcW w:w="688"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简单</w:t>
                  </w:r>
                </w:p>
                <w:p>
                  <w:pPr>
                    <w:pStyle w:val="106"/>
                    <w:spacing w:before="0" w:line="240" w:lineRule="auto"/>
                    <w:ind w:firstLine="0" w:firstLineChars="0"/>
                    <w:jc w:val="center"/>
                    <w:rPr>
                      <w:sz w:val="21"/>
                      <w:szCs w:val="21"/>
                      <w:u w:val="single"/>
                    </w:rPr>
                  </w:pPr>
                  <w:r>
                    <w:rPr>
                      <w:rFonts w:hint="eastAsia"/>
                      <w:sz w:val="21"/>
                      <w:szCs w:val="21"/>
                      <w:u w:val="single"/>
                    </w:rPr>
                    <w:t>防渗区</w:t>
                  </w:r>
                </w:p>
              </w:tc>
              <w:tc>
                <w:tcPr>
                  <w:tcW w:w="1361" w:type="pct"/>
                  <w:noWrap/>
                  <w:vAlign w:val="center"/>
                </w:tcPr>
                <w:p>
                  <w:pPr>
                    <w:pStyle w:val="106"/>
                    <w:spacing w:before="0" w:line="240" w:lineRule="auto"/>
                    <w:ind w:firstLine="0" w:firstLineChars="0"/>
                    <w:jc w:val="center"/>
                    <w:rPr>
                      <w:sz w:val="21"/>
                      <w:szCs w:val="21"/>
                      <w:u w:val="single"/>
                    </w:rPr>
                  </w:pPr>
                  <w:r>
                    <w:rPr>
                      <w:rFonts w:hint="eastAsia"/>
                      <w:sz w:val="21"/>
                      <w:szCs w:val="21"/>
                      <w:u w:val="single"/>
                    </w:rPr>
                    <w:t>一般地面硬化</w:t>
                  </w:r>
                </w:p>
              </w:tc>
              <w:tc>
                <w:tcPr>
                  <w:tcW w:w="1897" w:type="pct"/>
                  <w:noWrap/>
                  <w:vAlign w:val="center"/>
                </w:tcPr>
                <w:p>
                  <w:pPr>
                    <w:pStyle w:val="106"/>
                    <w:spacing w:before="0" w:line="240" w:lineRule="auto"/>
                    <w:ind w:firstLine="0" w:firstLineChars="0"/>
                    <w:jc w:val="left"/>
                    <w:rPr>
                      <w:sz w:val="21"/>
                      <w:szCs w:val="21"/>
                      <w:u w:val="single"/>
                    </w:rPr>
                  </w:pPr>
                  <w:r>
                    <w:rPr>
                      <w:rFonts w:hint="eastAsia"/>
                      <w:sz w:val="21"/>
                      <w:szCs w:val="21"/>
                      <w:u w:val="single"/>
                    </w:rPr>
                    <w:t>C30混凝土硬化；基础土分层夯实，压实系数不小于0.95。</w:t>
                  </w:r>
                </w:p>
              </w:tc>
            </w:tr>
          </w:tbl>
          <w:p>
            <w:pPr>
              <w:adjustRightInd w:val="0"/>
              <w:snapToGrid w:val="0"/>
              <w:spacing w:line="240" w:lineRule="auto"/>
              <w:ind w:firstLine="456" w:firstLineChars="200"/>
              <w:rPr>
                <w:rFonts w:hint="eastAsia" w:ascii="宋体" w:hAnsi="宋体" w:eastAsia="宋体" w:cs="宋体"/>
                <w:spacing w:val="-6"/>
                <w:sz w:val="24"/>
                <w:szCs w:val="24"/>
                <w:u w:val="single"/>
              </w:rPr>
            </w:pPr>
          </w:p>
          <w:p>
            <w:pPr>
              <w:adjustRightInd w:val="0"/>
              <w:snapToGrid w:val="0"/>
              <w:spacing w:line="360" w:lineRule="auto"/>
              <w:ind w:firstLine="456" w:firstLineChars="200"/>
              <w:rPr>
                <w:rFonts w:hint="eastAsia" w:ascii="宋体" w:hAnsi="宋体" w:eastAsia="宋体" w:cs="宋体"/>
                <w:sz w:val="24"/>
                <w:szCs w:val="24"/>
                <w:u w:val="single"/>
              </w:rPr>
            </w:pPr>
            <w:r>
              <w:rPr>
                <w:rFonts w:hint="eastAsia" w:ascii="宋体" w:hAnsi="宋体" w:eastAsia="宋体" w:cs="宋体"/>
                <w:spacing w:val="-6"/>
                <w:sz w:val="24"/>
                <w:szCs w:val="24"/>
                <w:u w:val="single"/>
              </w:rPr>
              <w:t>经过上述措施处理后，</w:t>
            </w:r>
            <w:r>
              <w:rPr>
                <w:rFonts w:hint="eastAsia" w:ascii="宋体" w:hAnsi="宋体" w:eastAsia="宋体" w:cs="宋体"/>
                <w:spacing w:val="-6"/>
                <w:sz w:val="24"/>
                <w:szCs w:val="24"/>
                <w:u w:val="single"/>
                <w:lang w:eastAsia="zh-CN"/>
              </w:rPr>
              <w:t>各防渗区满足相关要求，</w:t>
            </w:r>
            <w:r>
              <w:rPr>
                <w:rFonts w:hint="eastAsia" w:ascii="宋体" w:hAnsi="宋体" w:eastAsia="宋体" w:cs="宋体"/>
                <w:spacing w:val="-6"/>
                <w:sz w:val="24"/>
                <w:szCs w:val="24"/>
                <w:u w:val="single"/>
              </w:rPr>
              <w:t>项目</w:t>
            </w:r>
            <w:r>
              <w:rPr>
                <w:rFonts w:hint="eastAsia" w:ascii="宋体" w:hAnsi="宋体" w:eastAsia="宋体" w:cs="宋体"/>
                <w:spacing w:val="-6"/>
                <w:sz w:val="24"/>
                <w:szCs w:val="24"/>
                <w:u w:val="single"/>
                <w:lang w:eastAsia="zh-CN"/>
              </w:rPr>
              <w:t>运行后</w:t>
            </w:r>
            <w:r>
              <w:rPr>
                <w:rFonts w:hint="eastAsia" w:ascii="宋体" w:hAnsi="宋体" w:eastAsia="宋体" w:cs="宋体"/>
                <w:spacing w:val="-6"/>
                <w:sz w:val="24"/>
                <w:szCs w:val="24"/>
                <w:u w:val="single"/>
              </w:rPr>
              <w:t>基本不会对区域地下水、土壤环境造成影响。</w:t>
            </w:r>
          </w:p>
          <w:p>
            <w:pPr>
              <w:adjustRightInd w:val="0"/>
              <w:snapToGrid w:val="0"/>
              <w:spacing w:line="360" w:lineRule="auto"/>
              <w:ind w:firstLine="482" w:firstLineChars="200"/>
              <w:rPr>
                <w:rFonts w:hint="eastAsia" w:ascii="宋体" w:hAnsi="宋体" w:cs="宋体"/>
                <w:b/>
                <w:bCs w:val="0"/>
                <w:sz w:val="24"/>
                <w:u w:val="single"/>
              </w:rPr>
            </w:pPr>
            <w:r>
              <w:rPr>
                <w:rFonts w:hint="eastAsia" w:ascii="宋体" w:hAnsi="宋体" w:cs="宋体"/>
                <w:b/>
                <w:bCs w:val="0"/>
                <w:sz w:val="24"/>
                <w:szCs w:val="21"/>
                <w:u w:val="single"/>
              </w:rPr>
              <w:t>②</w:t>
            </w:r>
            <w:r>
              <w:rPr>
                <w:rFonts w:hint="eastAsia" w:ascii="宋体" w:hAnsi="宋体" w:cs="宋体"/>
                <w:b/>
                <w:bCs w:val="0"/>
                <w:sz w:val="24"/>
                <w:u w:val="single"/>
              </w:rPr>
              <w:t>铅酸蓄电池破损对地下水、土壤环境产生污染的防治措施</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项目仅将废蓄电池从农机上拆除，不进行废蓄电池的进一步拆解。严禁将废蓄电池内部的液体倾倒出来，废蓄电池贮存在耐酸容器中或者具有耐酸地面的专用区域内，厂区内设置专用危废暂存间用于废蓄电池的存储，定期委托有相应资质的单位进行处置，存放时间不超过三个月，本项目不接收破损蓄电池进入厂区，如发现破损蓄电池，立即委托有资质单位处理，不在场内贮存。废蓄电池存储设施应满足以下条件：</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a.贮存区应防雨，必须远离其他水源和热源；</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b.贮存区应有耐酸地面隔高层，以便于截留和收集废酸电解液；</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c.应设置围堰等收集系统，以便溢出的溶液及时收集处理，围堰高度不低于0.15m，围堰材质选用采用粘土、高密度聚乙烯土工膜（HDPE）进行处理；</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d.应只有一个入口，并且在一般情况下，应关闭此入口以避免灰尘的扩散；</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e.应设有适当的防火装置；</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f.作为危险品贮存点，必须设立警示标志，只允许专门人员进入贮存设施；</w:t>
            </w:r>
          </w:p>
          <w:p>
            <w:pPr>
              <w:adjustRightInd w:val="0"/>
              <w:snapToGrid w:val="0"/>
              <w:spacing w:line="360" w:lineRule="auto"/>
              <w:ind w:firstLine="480" w:firstLineChars="200"/>
              <w:rPr>
                <w:rFonts w:hint="eastAsia" w:hAnsi="宋体" w:cs="宋体"/>
                <w:kern w:val="0"/>
                <w:sz w:val="24"/>
                <w:u w:val="single"/>
              </w:rPr>
            </w:pPr>
            <w:r>
              <w:rPr>
                <w:rFonts w:hint="eastAsia" w:hAnsi="宋体" w:cs="宋体"/>
                <w:kern w:val="0"/>
                <w:sz w:val="24"/>
                <w:u w:val="single"/>
              </w:rPr>
              <w:t>g.应设立负压排气系统。</w:t>
            </w:r>
          </w:p>
          <w:p>
            <w:pPr>
              <w:adjustRightInd w:val="0"/>
              <w:snapToGrid w:val="0"/>
              <w:spacing w:line="360" w:lineRule="auto"/>
              <w:ind w:firstLine="456" w:firstLineChars="200"/>
              <w:rPr>
                <w:rFonts w:hint="eastAsia" w:ascii="宋体" w:hAnsi="宋体" w:eastAsia="宋体" w:cs="宋体"/>
                <w:b/>
                <w:bCs/>
                <w:sz w:val="24"/>
                <w:szCs w:val="24"/>
                <w:u w:val="single"/>
              </w:rPr>
            </w:pPr>
            <w:r>
              <w:rPr>
                <w:rFonts w:hint="default" w:cs="宋体" w:asciiTheme="minorAscii" w:hAnsiTheme="minorAscii" w:eastAsiaTheme="minorEastAsia"/>
                <w:spacing w:val="-6"/>
                <w:kern w:val="0"/>
                <w:sz w:val="24"/>
                <w:u w:val="single"/>
              </w:rPr>
              <w:t>经过以上处理后，</w:t>
            </w:r>
            <w:r>
              <w:rPr>
                <w:rFonts w:hint="default" w:cs="宋体" w:asciiTheme="minorAscii" w:hAnsiTheme="minorAscii" w:eastAsiaTheme="minorEastAsia"/>
                <w:spacing w:val="-6"/>
                <w:sz w:val="24"/>
                <w:u w:val="single"/>
              </w:rPr>
              <w:t>铅酸蓄电池破损不会对地下水、土壤环境产生较大影响。</w:t>
            </w:r>
          </w:p>
          <w:p>
            <w:pPr>
              <w:adjustRightInd w:val="0"/>
              <w:snapToGrid w:val="0"/>
              <w:spacing w:line="360" w:lineRule="auto"/>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2</w:t>
            </w:r>
            <w:r>
              <w:rPr>
                <w:rFonts w:hint="eastAsia" w:ascii="宋体" w:hAnsi="宋体" w:eastAsia="宋体" w:cs="宋体"/>
                <w:b/>
                <w:bCs/>
                <w:sz w:val="24"/>
                <w:szCs w:val="24"/>
                <w:u w:val="single"/>
              </w:rPr>
              <w:t>）环境影响分析</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本项目根据污染源及污染途径分布情况，采取较为合理的分区防控措施，</w:t>
            </w:r>
            <w:r>
              <w:rPr>
                <w:rFonts w:hint="eastAsia" w:ascii="宋体" w:hAnsi="宋体" w:eastAsia="宋体" w:cs="宋体"/>
                <w:spacing w:val="-6"/>
                <w:sz w:val="24"/>
                <w:szCs w:val="24"/>
                <w:u w:val="single"/>
              </w:rPr>
              <w:t>污染防治措施较为完善，正常情况下，基本不会对土壤、地下水造成环境影响。</w:t>
            </w:r>
          </w:p>
          <w:p>
            <w:pPr>
              <w:adjustRightInd w:val="0"/>
              <w:snapToGrid w:val="0"/>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）跟踪监测要求</w:t>
            </w:r>
          </w:p>
          <w:p>
            <w:pPr>
              <w:pStyle w:val="3"/>
              <w:spacing w:before="62" w:after="62"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参照《建设项目环境影响报告表编制技术指南（污染影响类）（试行）》、《环境影响评价技术导则 土壤环境（试行）》（HJ964—2018）跟踪监测相关内容以及本项目污染物、污染途径及保护目标分布情况，本项目土壤环境跟踪监测要求如下：</w:t>
            </w:r>
          </w:p>
          <w:p>
            <w:pPr>
              <w:adjustRightInd w:val="0"/>
              <w:snapToGrid w:val="0"/>
              <w:spacing w:line="360" w:lineRule="auto"/>
              <w:ind w:firstLine="482" w:firstLineChars="200"/>
              <w:jc w:val="center"/>
              <w:rPr>
                <w:b/>
                <w:bCs/>
                <w:sz w:val="24"/>
                <w:szCs w:val="24"/>
                <w:u w:val="single"/>
              </w:rPr>
            </w:pPr>
            <w:r>
              <w:rPr>
                <w:rFonts w:hint="eastAsia"/>
                <w:b/>
                <w:bCs/>
                <w:sz w:val="24"/>
                <w:szCs w:val="24"/>
                <w:u w:val="single"/>
              </w:rPr>
              <w:t>表5</w:t>
            </w:r>
            <w:r>
              <w:rPr>
                <w:rFonts w:hint="eastAsia"/>
                <w:b/>
                <w:bCs/>
                <w:sz w:val="24"/>
                <w:szCs w:val="24"/>
                <w:u w:val="single"/>
                <w:lang w:val="en-US" w:eastAsia="zh-CN"/>
              </w:rPr>
              <w:t>1</w:t>
            </w:r>
            <w:r>
              <w:rPr>
                <w:rFonts w:hint="eastAsia"/>
                <w:b/>
                <w:bCs/>
                <w:sz w:val="24"/>
                <w:szCs w:val="24"/>
                <w:u w:val="single"/>
              </w:rPr>
              <w:t xml:space="preserve">   土壤环境跟踪监测要求</w:t>
            </w:r>
          </w:p>
          <w:tbl>
            <w:tblPr>
              <w:tblStyle w:val="25"/>
              <w:tblW w:w="825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75"/>
              <w:gridCol w:w="1558"/>
              <w:gridCol w:w="4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7" w:hRule="atLeast"/>
              </w:trPr>
              <w:tc>
                <w:tcPr>
                  <w:tcW w:w="790"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监测点位</w:t>
                  </w:r>
                </w:p>
              </w:tc>
              <w:tc>
                <w:tcPr>
                  <w:tcW w:w="773"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监测因子</w:t>
                  </w:r>
                </w:p>
              </w:tc>
              <w:tc>
                <w:tcPr>
                  <w:tcW w:w="944"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监测频次</w:t>
                  </w:r>
                </w:p>
              </w:tc>
              <w:tc>
                <w:tcPr>
                  <w:tcW w:w="2492" w:type="pct"/>
                  <w:shd w:val="clear" w:color="auto" w:fill="auto"/>
                  <w:noWrap/>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0"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项目场地</w:t>
                  </w:r>
                </w:p>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外空地</w:t>
                  </w:r>
                </w:p>
              </w:tc>
              <w:tc>
                <w:tcPr>
                  <w:tcW w:w="773"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石油烃</w:t>
                  </w:r>
                </w:p>
              </w:tc>
              <w:tc>
                <w:tcPr>
                  <w:tcW w:w="944"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每5年1次</w:t>
                  </w:r>
                </w:p>
              </w:tc>
              <w:tc>
                <w:tcPr>
                  <w:tcW w:w="2492" w:type="pct"/>
                  <w:shd w:val="clear" w:color="auto" w:fill="auto"/>
                  <w:noWrap/>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《土壤环境质量  建设用地土壤污染风险管控标准（试行）》（GB36600-2018）</w:t>
                  </w:r>
                </w:p>
              </w:tc>
            </w:tr>
          </w:tbl>
          <w:p>
            <w:pPr>
              <w:adjustRightInd w:val="0"/>
              <w:snapToGrid w:val="0"/>
              <w:ind w:firstLine="420" w:firstLineChars="200"/>
              <w:rPr>
                <w:u w:val="single"/>
              </w:rPr>
            </w:pPr>
          </w:p>
          <w:p>
            <w:pPr>
              <w:adjustRightInd w:val="0"/>
              <w:snapToGrid w:val="0"/>
              <w:spacing w:line="360" w:lineRule="auto"/>
              <w:ind w:firstLine="480" w:firstLineChars="200"/>
              <w:rPr>
                <w:sz w:val="24"/>
                <w:szCs w:val="24"/>
                <w:u w:val="single"/>
              </w:rPr>
            </w:pPr>
            <w:r>
              <w:rPr>
                <w:rFonts w:hint="eastAsia"/>
                <w:sz w:val="24"/>
                <w:szCs w:val="24"/>
                <w:u w:val="single"/>
              </w:rPr>
              <w:t>根据本项目污染物、污染途径及保护目标分布情况，本项目地下水环境跟踪监测要求如下：</w:t>
            </w:r>
          </w:p>
          <w:p>
            <w:pPr>
              <w:adjustRightInd w:val="0"/>
              <w:snapToGrid w:val="0"/>
              <w:spacing w:line="360" w:lineRule="auto"/>
              <w:ind w:firstLine="482" w:firstLineChars="200"/>
              <w:jc w:val="center"/>
              <w:rPr>
                <w:b/>
                <w:bCs/>
                <w:u w:val="single"/>
              </w:rPr>
            </w:pPr>
            <w:r>
              <w:rPr>
                <w:rFonts w:hint="eastAsia"/>
                <w:b/>
                <w:bCs/>
                <w:sz w:val="24"/>
                <w:szCs w:val="24"/>
                <w:u w:val="single"/>
              </w:rPr>
              <w:t>表5</w:t>
            </w:r>
            <w:r>
              <w:rPr>
                <w:rFonts w:hint="eastAsia"/>
                <w:b/>
                <w:bCs/>
                <w:sz w:val="24"/>
                <w:szCs w:val="24"/>
                <w:u w:val="single"/>
                <w:lang w:val="en-US" w:eastAsia="zh-CN"/>
              </w:rPr>
              <w:t>2</w:t>
            </w:r>
            <w:r>
              <w:rPr>
                <w:rFonts w:hint="eastAsia"/>
                <w:b/>
                <w:bCs/>
                <w:sz w:val="24"/>
                <w:szCs w:val="24"/>
                <w:u w:val="single"/>
              </w:rPr>
              <w:t xml:space="preserve">  地下水环境跟踪监测要求</w:t>
            </w:r>
          </w:p>
          <w:tbl>
            <w:tblPr>
              <w:tblStyle w:val="25"/>
              <w:tblW w:w="825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419"/>
              <w:gridCol w:w="1416"/>
              <w:gridCol w:w="3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91" w:hRule="atLeast"/>
              </w:trPr>
              <w:tc>
                <w:tcPr>
                  <w:tcW w:w="1048"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监测点位</w:t>
                  </w:r>
                </w:p>
              </w:tc>
              <w:tc>
                <w:tcPr>
                  <w:tcW w:w="860"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监测因子</w:t>
                  </w:r>
                </w:p>
              </w:tc>
              <w:tc>
                <w:tcPr>
                  <w:tcW w:w="858"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监测频次</w:t>
                  </w:r>
                </w:p>
              </w:tc>
              <w:tc>
                <w:tcPr>
                  <w:tcW w:w="2234" w:type="pct"/>
                  <w:shd w:val="clear" w:color="auto" w:fill="auto"/>
                  <w:noWrap/>
                </w:tcPr>
                <w:p>
                  <w:pPr>
                    <w:pStyle w:val="2"/>
                    <w:snapToGrid w:val="0"/>
                    <w:spacing w:line="240" w:lineRule="auto"/>
                    <w:ind w:firstLine="0" w:firstLineChars="0"/>
                    <w:jc w:val="center"/>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48"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地下水下游水井</w:t>
                  </w:r>
                </w:p>
              </w:tc>
              <w:tc>
                <w:tcPr>
                  <w:tcW w:w="860"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石油类</w:t>
                  </w:r>
                </w:p>
              </w:tc>
              <w:tc>
                <w:tcPr>
                  <w:tcW w:w="858" w:type="pct"/>
                  <w:shd w:val="clear" w:color="auto" w:fill="auto"/>
                  <w:noWrap/>
                  <w:vAlign w:val="center"/>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1次/年</w:t>
                  </w:r>
                </w:p>
              </w:tc>
              <w:tc>
                <w:tcPr>
                  <w:tcW w:w="2234" w:type="pct"/>
                  <w:shd w:val="clear" w:color="auto" w:fill="auto"/>
                  <w:noWrap/>
                </w:tcPr>
                <w:p>
                  <w:pPr>
                    <w:pStyle w:val="2"/>
                    <w:snapToGrid w:val="0"/>
                    <w:spacing w:line="240" w:lineRule="auto"/>
                    <w:ind w:firstLine="0" w:firstLineChars="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《地下水质量标准》（GB/T14848-2017）</w:t>
                  </w:r>
                </w:p>
              </w:tc>
            </w:tr>
          </w:tbl>
          <w:p>
            <w:pPr>
              <w:autoSpaceDE w:val="0"/>
              <w:autoSpaceDN w:val="0"/>
              <w:spacing w:line="240" w:lineRule="auto"/>
              <w:ind w:firstLine="482" w:firstLineChars="200"/>
              <w:rPr>
                <w:rFonts w:hint="eastAsia"/>
                <w:b/>
                <w:bCs/>
                <w:sz w:val="24"/>
                <w:szCs w:val="24"/>
                <w:u w:val="single"/>
              </w:rPr>
            </w:pPr>
          </w:p>
          <w:p>
            <w:pPr>
              <w:autoSpaceDE w:val="0"/>
              <w:autoSpaceDN w:val="0"/>
              <w:spacing w:line="360" w:lineRule="auto"/>
              <w:ind w:firstLine="482" w:firstLineChars="200"/>
              <w:rPr>
                <w:b/>
                <w:bCs/>
                <w:sz w:val="24"/>
                <w:szCs w:val="24"/>
                <w:u w:val="single"/>
              </w:rPr>
            </w:pPr>
            <w:r>
              <w:rPr>
                <w:rFonts w:hint="eastAsia"/>
                <w:b/>
                <w:bCs/>
                <w:sz w:val="24"/>
                <w:szCs w:val="24"/>
                <w:u w:val="single"/>
              </w:rPr>
              <w:t>6、环境风险分析及防范措施</w:t>
            </w:r>
          </w:p>
          <w:p>
            <w:pPr>
              <w:pStyle w:val="51"/>
              <w:rPr>
                <w:b/>
                <w:bCs/>
                <w:sz w:val="24"/>
                <w:szCs w:val="24"/>
                <w:u w:val="single"/>
              </w:rPr>
            </w:pPr>
            <w:r>
              <w:rPr>
                <w:rFonts w:hint="eastAsia"/>
                <w:b/>
                <w:bCs/>
                <w:sz w:val="24"/>
                <w:szCs w:val="24"/>
                <w:u w:val="single"/>
              </w:rPr>
              <w:t>（1）风险源分布情况</w:t>
            </w:r>
          </w:p>
          <w:p>
            <w:pPr>
              <w:adjustRightInd w:val="0"/>
              <w:snapToGrid w:val="0"/>
              <w:spacing w:line="360" w:lineRule="auto"/>
              <w:ind w:firstLine="480" w:firstLineChars="200"/>
              <w:rPr>
                <w:sz w:val="24"/>
                <w:szCs w:val="24"/>
                <w:u w:val="single"/>
              </w:rPr>
            </w:pPr>
            <w:r>
              <w:rPr>
                <w:rFonts w:hint="eastAsia"/>
                <w:sz w:val="24"/>
                <w:szCs w:val="24"/>
                <w:u w:val="single"/>
              </w:rPr>
              <w:t xml:space="preserve"> 本项目风险源分布情况如下：</w:t>
            </w:r>
          </w:p>
          <w:p>
            <w:pPr>
              <w:adjustRightInd w:val="0"/>
              <w:snapToGrid w:val="0"/>
              <w:spacing w:line="360" w:lineRule="auto"/>
              <w:jc w:val="center"/>
              <w:rPr>
                <w:b/>
                <w:bCs/>
                <w:sz w:val="24"/>
                <w:szCs w:val="24"/>
                <w:u w:val="single"/>
              </w:rPr>
            </w:pPr>
            <w:r>
              <w:rPr>
                <w:rFonts w:hint="eastAsia"/>
                <w:b/>
                <w:bCs/>
                <w:sz w:val="24"/>
                <w:szCs w:val="24"/>
                <w:u w:val="single"/>
              </w:rPr>
              <w:t>表5</w:t>
            </w:r>
            <w:r>
              <w:rPr>
                <w:rFonts w:hint="eastAsia"/>
                <w:b/>
                <w:bCs/>
                <w:sz w:val="24"/>
                <w:szCs w:val="24"/>
                <w:u w:val="single"/>
                <w:lang w:val="en-US" w:eastAsia="zh-CN"/>
              </w:rPr>
              <w:t>3</w:t>
            </w:r>
            <w:r>
              <w:rPr>
                <w:rFonts w:hint="eastAsia"/>
                <w:b/>
                <w:bCs/>
                <w:sz w:val="24"/>
                <w:szCs w:val="24"/>
                <w:u w:val="single"/>
              </w:rPr>
              <w:t xml:space="preserve">   风险识别的范围及类型分析表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36"/>
              <w:gridCol w:w="1666"/>
              <w:gridCol w:w="2106"/>
              <w:gridCol w:w="21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5" w:hRule="atLeast"/>
              </w:trPr>
              <w:tc>
                <w:tcPr>
                  <w:tcW w:w="451" w:type="pct"/>
                  <w:noWrap/>
                  <w:vAlign w:val="center"/>
                </w:tcPr>
                <w:p>
                  <w:pPr>
                    <w:adjustRightInd w:val="0"/>
                    <w:snapToGrid w:val="0"/>
                    <w:jc w:val="center"/>
                    <w:rPr>
                      <w:b/>
                      <w:bCs/>
                      <w:u w:val="single"/>
                    </w:rPr>
                  </w:pPr>
                  <w:r>
                    <w:rPr>
                      <w:rFonts w:hint="eastAsia"/>
                      <w:b/>
                      <w:bCs/>
                      <w:u w:val="single"/>
                    </w:rPr>
                    <w:t>序号</w:t>
                  </w:r>
                </w:p>
              </w:tc>
              <w:tc>
                <w:tcPr>
                  <w:tcW w:w="1872" w:type="pct"/>
                  <w:gridSpan w:val="2"/>
                  <w:noWrap/>
                  <w:vAlign w:val="center"/>
                </w:tcPr>
                <w:p>
                  <w:pPr>
                    <w:adjustRightInd w:val="0"/>
                    <w:snapToGrid w:val="0"/>
                    <w:jc w:val="center"/>
                    <w:rPr>
                      <w:b/>
                      <w:bCs/>
                      <w:u w:val="single"/>
                    </w:rPr>
                  </w:pPr>
                  <w:r>
                    <w:rPr>
                      <w:rFonts w:hint="eastAsia"/>
                      <w:b/>
                      <w:bCs/>
                      <w:u w:val="single"/>
                    </w:rPr>
                    <w:t>生产设施风险识别范围</w:t>
                  </w:r>
                </w:p>
              </w:tc>
              <w:tc>
                <w:tcPr>
                  <w:tcW w:w="1312" w:type="pct"/>
                  <w:noWrap/>
                  <w:vAlign w:val="center"/>
                </w:tcPr>
                <w:p>
                  <w:pPr>
                    <w:adjustRightInd w:val="0"/>
                    <w:snapToGrid w:val="0"/>
                    <w:jc w:val="center"/>
                    <w:rPr>
                      <w:b/>
                      <w:bCs/>
                      <w:u w:val="single"/>
                    </w:rPr>
                  </w:pPr>
                  <w:r>
                    <w:rPr>
                      <w:rFonts w:hint="eastAsia"/>
                      <w:b/>
                      <w:bCs/>
                      <w:u w:val="single"/>
                    </w:rPr>
                    <w:t>物质风险识别范围</w:t>
                  </w:r>
                </w:p>
              </w:tc>
              <w:tc>
                <w:tcPr>
                  <w:tcW w:w="1363" w:type="pct"/>
                  <w:noWrap/>
                  <w:vAlign w:val="center"/>
                </w:tcPr>
                <w:p>
                  <w:pPr>
                    <w:adjustRightInd w:val="0"/>
                    <w:snapToGrid w:val="0"/>
                    <w:jc w:val="center"/>
                    <w:rPr>
                      <w:b/>
                      <w:bCs/>
                      <w:u w:val="single"/>
                    </w:rPr>
                  </w:pPr>
                  <w:r>
                    <w:rPr>
                      <w:rFonts w:hint="eastAsia"/>
                      <w:b/>
                      <w:bCs/>
                      <w:u w:val="single"/>
                    </w:rPr>
                    <w:t>风险类别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1" w:type="pct"/>
                  <w:noWrap/>
                  <w:vAlign w:val="center"/>
                </w:tcPr>
                <w:p>
                  <w:pPr>
                    <w:adjustRightInd w:val="0"/>
                    <w:snapToGrid w:val="0"/>
                    <w:jc w:val="center"/>
                    <w:rPr>
                      <w:u w:val="single"/>
                    </w:rPr>
                  </w:pPr>
                  <w:r>
                    <w:rPr>
                      <w:rFonts w:hint="eastAsia"/>
                      <w:u w:val="single"/>
                    </w:rPr>
                    <w:t>1</w:t>
                  </w:r>
                </w:p>
              </w:tc>
              <w:tc>
                <w:tcPr>
                  <w:tcW w:w="833" w:type="pct"/>
                  <w:noWrap/>
                  <w:vAlign w:val="center"/>
                </w:tcPr>
                <w:p>
                  <w:pPr>
                    <w:adjustRightInd w:val="0"/>
                    <w:snapToGrid w:val="0"/>
                    <w:jc w:val="center"/>
                    <w:rPr>
                      <w:u w:val="single"/>
                    </w:rPr>
                  </w:pPr>
                  <w:r>
                    <w:rPr>
                      <w:rFonts w:hint="eastAsia"/>
                      <w:u w:val="single"/>
                    </w:rPr>
                    <w:t>生产车间</w:t>
                  </w:r>
                </w:p>
              </w:tc>
              <w:tc>
                <w:tcPr>
                  <w:tcW w:w="1038" w:type="pct"/>
                  <w:noWrap/>
                  <w:vAlign w:val="center"/>
                </w:tcPr>
                <w:p>
                  <w:pPr>
                    <w:adjustRightInd w:val="0"/>
                    <w:snapToGrid w:val="0"/>
                    <w:jc w:val="center"/>
                    <w:rPr>
                      <w:u w:val="single"/>
                    </w:rPr>
                  </w:pPr>
                  <w:r>
                    <w:rPr>
                      <w:rFonts w:hint="eastAsia"/>
                      <w:u w:val="single"/>
                    </w:rPr>
                    <w:t>拆解车间</w:t>
                  </w:r>
                </w:p>
              </w:tc>
              <w:tc>
                <w:tcPr>
                  <w:tcW w:w="1312" w:type="pct"/>
                  <w:noWrap/>
                  <w:vAlign w:val="center"/>
                </w:tcPr>
                <w:p>
                  <w:pPr>
                    <w:adjustRightInd w:val="0"/>
                    <w:snapToGrid w:val="0"/>
                    <w:jc w:val="center"/>
                    <w:rPr>
                      <w:u w:val="single"/>
                    </w:rPr>
                  </w:pPr>
                  <w:r>
                    <w:rPr>
                      <w:rFonts w:hint="eastAsia"/>
                      <w:u w:val="single"/>
                    </w:rPr>
                    <w:t>废油液等</w:t>
                  </w:r>
                </w:p>
              </w:tc>
              <w:tc>
                <w:tcPr>
                  <w:tcW w:w="1363" w:type="pct"/>
                  <w:noWrap/>
                  <w:vAlign w:val="center"/>
                </w:tcPr>
                <w:p>
                  <w:pPr>
                    <w:adjustRightInd w:val="0"/>
                    <w:snapToGrid w:val="0"/>
                    <w:jc w:val="center"/>
                    <w:rPr>
                      <w:u w:val="single"/>
                    </w:rPr>
                  </w:pPr>
                  <w:r>
                    <w:rPr>
                      <w:rFonts w:hint="eastAsia"/>
                      <w:u w:val="single"/>
                    </w:rPr>
                    <w:t>爆炸、火灾、泄露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5" w:hRule="atLeast"/>
              </w:trPr>
              <w:tc>
                <w:tcPr>
                  <w:tcW w:w="451" w:type="pct"/>
                  <w:noWrap/>
                  <w:vAlign w:val="center"/>
                </w:tcPr>
                <w:p>
                  <w:pPr>
                    <w:adjustRightInd w:val="0"/>
                    <w:snapToGrid w:val="0"/>
                    <w:jc w:val="center"/>
                    <w:rPr>
                      <w:u w:val="single"/>
                    </w:rPr>
                  </w:pPr>
                  <w:r>
                    <w:rPr>
                      <w:rFonts w:hint="eastAsia"/>
                      <w:u w:val="single"/>
                    </w:rPr>
                    <w:t>2</w:t>
                  </w:r>
                </w:p>
              </w:tc>
              <w:tc>
                <w:tcPr>
                  <w:tcW w:w="833" w:type="pct"/>
                  <w:noWrap/>
                  <w:vAlign w:val="center"/>
                </w:tcPr>
                <w:p>
                  <w:pPr>
                    <w:adjustRightInd w:val="0"/>
                    <w:snapToGrid w:val="0"/>
                    <w:jc w:val="center"/>
                    <w:rPr>
                      <w:u w:val="single"/>
                    </w:rPr>
                  </w:pPr>
                  <w:r>
                    <w:rPr>
                      <w:rFonts w:hint="eastAsia"/>
                      <w:u w:val="single"/>
                    </w:rPr>
                    <w:t>贮运系统</w:t>
                  </w:r>
                </w:p>
              </w:tc>
              <w:tc>
                <w:tcPr>
                  <w:tcW w:w="1038" w:type="pct"/>
                  <w:noWrap/>
                  <w:vAlign w:val="center"/>
                </w:tcPr>
                <w:p>
                  <w:pPr>
                    <w:adjustRightInd w:val="0"/>
                    <w:snapToGrid w:val="0"/>
                    <w:jc w:val="center"/>
                    <w:rPr>
                      <w:u w:val="single"/>
                    </w:rPr>
                  </w:pPr>
                  <w:r>
                    <w:rPr>
                      <w:rFonts w:hint="eastAsia"/>
                      <w:u w:val="single"/>
                    </w:rPr>
                    <w:t>危废暂存间</w:t>
                  </w:r>
                </w:p>
              </w:tc>
              <w:tc>
                <w:tcPr>
                  <w:tcW w:w="1312" w:type="pct"/>
                  <w:noWrap/>
                  <w:vAlign w:val="center"/>
                </w:tcPr>
                <w:p>
                  <w:pPr>
                    <w:adjustRightInd w:val="0"/>
                    <w:snapToGrid w:val="0"/>
                    <w:jc w:val="center"/>
                    <w:rPr>
                      <w:u w:val="single"/>
                    </w:rPr>
                  </w:pPr>
                  <w:r>
                    <w:rPr>
                      <w:rFonts w:hint="eastAsia"/>
                      <w:u w:val="single"/>
                    </w:rPr>
                    <w:t>废油液等</w:t>
                  </w:r>
                </w:p>
              </w:tc>
              <w:tc>
                <w:tcPr>
                  <w:tcW w:w="1363" w:type="pct"/>
                  <w:noWrap/>
                  <w:vAlign w:val="center"/>
                </w:tcPr>
                <w:p>
                  <w:pPr>
                    <w:adjustRightInd w:val="0"/>
                    <w:snapToGrid w:val="0"/>
                    <w:jc w:val="center"/>
                    <w:rPr>
                      <w:u w:val="single"/>
                    </w:rPr>
                  </w:pPr>
                  <w:r>
                    <w:rPr>
                      <w:rFonts w:hint="eastAsia"/>
                      <w:u w:val="single"/>
                    </w:rPr>
                    <w:t>爆炸、火灾、泄露</w:t>
                  </w:r>
                </w:p>
              </w:tc>
            </w:tr>
          </w:tbl>
          <w:p>
            <w:pPr>
              <w:adjustRightInd w:val="0"/>
              <w:snapToGrid w:val="0"/>
              <w:rPr>
                <w:u w:val="single"/>
              </w:rPr>
            </w:pPr>
          </w:p>
          <w:p>
            <w:pPr>
              <w:adjustRightInd w:val="0"/>
              <w:snapToGrid w:val="0"/>
              <w:spacing w:line="360" w:lineRule="auto"/>
              <w:ind w:firstLine="480" w:firstLineChars="200"/>
              <w:rPr>
                <w:sz w:val="24"/>
                <w:szCs w:val="24"/>
                <w:u w:val="single"/>
              </w:rPr>
            </w:pPr>
            <w:r>
              <w:rPr>
                <w:rFonts w:hint="eastAsia"/>
                <w:sz w:val="24"/>
                <w:szCs w:val="24"/>
                <w:u w:val="single"/>
              </w:rPr>
              <w:t>本项目主要涉及的危险性物质为柴油、废机油等，其理化性质和毒性见下表：</w:t>
            </w:r>
          </w:p>
          <w:p>
            <w:pPr>
              <w:adjustRightInd w:val="0"/>
              <w:snapToGrid w:val="0"/>
              <w:spacing w:line="360" w:lineRule="auto"/>
              <w:jc w:val="center"/>
              <w:rPr>
                <w:b/>
                <w:bCs/>
                <w:sz w:val="24"/>
                <w:szCs w:val="24"/>
                <w:u w:val="single"/>
              </w:rPr>
            </w:pPr>
            <w:r>
              <w:rPr>
                <w:rFonts w:hint="eastAsia"/>
                <w:b/>
                <w:bCs/>
                <w:sz w:val="24"/>
                <w:szCs w:val="24"/>
                <w:u w:val="single"/>
              </w:rPr>
              <w:t>表5</w:t>
            </w:r>
            <w:r>
              <w:rPr>
                <w:rFonts w:hint="eastAsia"/>
                <w:b/>
                <w:bCs/>
                <w:sz w:val="24"/>
                <w:szCs w:val="24"/>
                <w:u w:val="single"/>
                <w:lang w:val="en-US" w:eastAsia="zh-CN"/>
              </w:rPr>
              <w:t>4</w:t>
            </w:r>
            <w:r>
              <w:rPr>
                <w:rFonts w:hint="eastAsia"/>
                <w:b/>
                <w:bCs/>
                <w:sz w:val="24"/>
                <w:szCs w:val="24"/>
                <w:u w:val="single"/>
              </w:rPr>
              <w:t xml:space="preserve">   风险物质的危险性识别</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00"/>
              <w:gridCol w:w="2659"/>
              <w:gridCol w:w="3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pct"/>
                  <w:noWrap/>
                  <w:vAlign w:val="center"/>
                </w:tcPr>
                <w:p>
                  <w:pPr>
                    <w:jc w:val="center"/>
                    <w:rPr>
                      <w:b/>
                      <w:bCs/>
                      <w:u w:val="single"/>
                    </w:rPr>
                  </w:pPr>
                  <w:r>
                    <w:rPr>
                      <w:rFonts w:hint="eastAsia"/>
                      <w:b/>
                      <w:bCs/>
                      <w:u w:val="single"/>
                    </w:rPr>
                    <w:t>名称</w:t>
                  </w:r>
                </w:p>
              </w:tc>
              <w:tc>
                <w:tcPr>
                  <w:tcW w:w="499" w:type="pct"/>
                  <w:noWrap/>
                  <w:vAlign w:val="center"/>
                </w:tcPr>
                <w:p>
                  <w:pPr>
                    <w:jc w:val="center"/>
                    <w:rPr>
                      <w:b/>
                      <w:bCs/>
                      <w:u w:val="single"/>
                    </w:rPr>
                  </w:pPr>
                  <w:r>
                    <w:rPr>
                      <w:rFonts w:hint="eastAsia"/>
                      <w:b/>
                      <w:bCs/>
                      <w:u w:val="single"/>
                    </w:rPr>
                    <w:t>理化性质</w:t>
                  </w:r>
                </w:p>
              </w:tc>
              <w:tc>
                <w:tcPr>
                  <w:tcW w:w="1658" w:type="pct"/>
                  <w:noWrap/>
                  <w:vAlign w:val="center"/>
                </w:tcPr>
                <w:p>
                  <w:pPr>
                    <w:jc w:val="center"/>
                    <w:rPr>
                      <w:b/>
                      <w:bCs/>
                      <w:u w:val="single"/>
                    </w:rPr>
                  </w:pPr>
                  <w:r>
                    <w:rPr>
                      <w:rFonts w:hint="eastAsia"/>
                      <w:b/>
                      <w:bCs/>
                      <w:u w:val="single"/>
                    </w:rPr>
                    <w:t>燃爆等危险性</w:t>
                  </w:r>
                </w:p>
              </w:tc>
              <w:tc>
                <w:tcPr>
                  <w:tcW w:w="2207" w:type="pct"/>
                  <w:noWrap/>
                  <w:vAlign w:val="center"/>
                </w:tcPr>
                <w:p>
                  <w:pPr>
                    <w:jc w:val="center"/>
                    <w:rPr>
                      <w:b/>
                      <w:bCs/>
                      <w:u w:val="single"/>
                    </w:rPr>
                  </w:pPr>
                  <w:r>
                    <w:rPr>
                      <w:rFonts w:hint="eastAsia"/>
                      <w:b/>
                      <w:bCs/>
                      <w:u w:val="single"/>
                    </w:rPr>
                    <w:t>毒性、危害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pct"/>
                  <w:noWrap/>
                  <w:vAlign w:val="center"/>
                </w:tcPr>
                <w:p>
                  <w:pPr>
                    <w:jc w:val="center"/>
                    <w:rPr>
                      <w:u w:val="single"/>
                    </w:rPr>
                  </w:pPr>
                  <w:r>
                    <w:rPr>
                      <w:rFonts w:hint="eastAsia"/>
                      <w:u w:val="single"/>
                    </w:rPr>
                    <w:t>柴油</w:t>
                  </w:r>
                </w:p>
              </w:tc>
              <w:tc>
                <w:tcPr>
                  <w:tcW w:w="499" w:type="pct"/>
                  <w:noWrap/>
                  <w:vAlign w:val="center"/>
                </w:tcPr>
                <w:p>
                  <w:pPr>
                    <w:jc w:val="center"/>
                    <w:rPr>
                      <w:u w:val="single"/>
                    </w:rPr>
                  </w:pPr>
                  <w:r>
                    <w:rPr>
                      <w:rFonts w:hint="eastAsia"/>
                      <w:u w:val="single"/>
                    </w:rPr>
                    <w:t>稍有</w:t>
                  </w:r>
                </w:p>
                <w:p>
                  <w:pPr>
                    <w:jc w:val="center"/>
                    <w:rPr>
                      <w:u w:val="single"/>
                    </w:rPr>
                  </w:pPr>
                  <w:r>
                    <w:rPr>
                      <w:rFonts w:hint="eastAsia"/>
                      <w:u w:val="single"/>
                    </w:rPr>
                    <w:t>粘性</w:t>
                  </w:r>
                </w:p>
              </w:tc>
              <w:tc>
                <w:tcPr>
                  <w:tcW w:w="1658" w:type="pct"/>
                  <w:noWrap/>
                  <w:vAlign w:val="center"/>
                </w:tcPr>
                <w:p>
                  <w:pPr>
                    <w:jc w:val="left"/>
                    <w:rPr>
                      <w:u w:val="single"/>
                    </w:rPr>
                  </w:pPr>
                  <w:r>
                    <w:rPr>
                      <w:rFonts w:hint="eastAsia"/>
                      <w:u w:val="single"/>
                    </w:rPr>
                    <w:t>火灾危险程度的乙B或丙A类物质，其闪点≥60℃，爆炸危险组别/类别为T3/IIA，未列入危险化学品范围</w:t>
                  </w:r>
                </w:p>
              </w:tc>
              <w:tc>
                <w:tcPr>
                  <w:tcW w:w="2207" w:type="pct"/>
                  <w:noWrap/>
                  <w:vAlign w:val="center"/>
                </w:tcPr>
                <w:p>
                  <w:pPr>
                    <w:jc w:val="left"/>
                    <w:rPr>
                      <w:u w:val="single"/>
                    </w:rPr>
                  </w:pPr>
                  <w:r>
                    <w:rPr>
                      <w:rFonts w:hint="eastAsia"/>
                      <w:u w:val="single"/>
                    </w:rPr>
                    <w:t>对皮肤粘膜有刺激作用。皮肤接触柴油可引起接触性皮炎、油性痤疮。吸入柴油雾滴可引起吸入性肺炎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pct"/>
                  <w:noWrap/>
                  <w:vAlign w:val="center"/>
                </w:tcPr>
                <w:p>
                  <w:pPr>
                    <w:jc w:val="center"/>
                    <w:rPr>
                      <w:u w:val="single"/>
                    </w:rPr>
                  </w:pPr>
                  <w:r>
                    <w:rPr>
                      <w:rFonts w:hint="eastAsia"/>
                      <w:u w:val="single"/>
                    </w:rPr>
                    <w:t>废油液（废机油、润滑油、防冻剂）</w:t>
                  </w:r>
                </w:p>
              </w:tc>
              <w:tc>
                <w:tcPr>
                  <w:tcW w:w="499" w:type="pct"/>
                  <w:noWrap/>
                  <w:vAlign w:val="center"/>
                </w:tcPr>
                <w:p>
                  <w:pPr>
                    <w:jc w:val="center"/>
                    <w:rPr>
                      <w:u w:val="single"/>
                    </w:rPr>
                  </w:pPr>
                  <w:r>
                    <w:rPr>
                      <w:rFonts w:hint="eastAsia"/>
                      <w:u w:val="single"/>
                    </w:rPr>
                    <w:t>油状</w:t>
                  </w:r>
                </w:p>
                <w:p>
                  <w:pPr>
                    <w:jc w:val="center"/>
                    <w:rPr>
                      <w:u w:val="single"/>
                    </w:rPr>
                  </w:pPr>
                  <w:r>
                    <w:rPr>
                      <w:rFonts w:hint="eastAsia"/>
                      <w:u w:val="single"/>
                    </w:rPr>
                    <w:t>液体</w:t>
                  </w:r>
                </w:p>
              </w:tc>
              <w:tc>
                <w:tcPr>
                  <w:tcW w:w="1658" w:type="pct"/>
                  <w:noWrap/>
                  <w:vAlign w:val="center"/>
                </w:tcPr>
                <w:p>
                  <w:pPr>
                    <w:jc w:val="left"/>
                    <w:rPr>
                      <w:u w:val="single"/>
                    </w:rPr>
                  </w:pPr>
                  <w:r>
                    <w:rPr>
                      <w:rFonts w:hint="eastAsia"/>
                      <w:u w:val="single"/>
                    </w:rPr>
                    <w:t>可燃，遇明火高热可燃</w:t>
                  </w:r>
                </w:p>
              </w:tc>
              <w:tc>
                <w:tcPr>
                  <w:tcW w:w="2207" w:type="pct"/>
                  <w:noWrap/>
                  <w:vAlign w:val="center"/>
                </w:tcPr>
                <w:p>
                  <w:pPr>
                    <w:jc w:val="left"/>
                    <w:rPr>
                      <w:u w:val="single"/>
                    </w:rPr>
                  </w:pPr>
                  <w:r>
                    <w:rPr>
                      <w:rFonts w:hint="eastAsia"/>
                      <w:u w:val="single"/>
                    </w:rPr>
                    <w:t>侵入途径：吸入、食入；急性吸入，可出现乏力、头晕、头痛、恶心，严重者可引起油脂性肺炎。慢接触者，暴露部位可发生油性痤疮和接触性皮炎。可引起神经衰弱综合征，呼吸道和眼刺激症状及慢性油脂性肺炎。</w:t>
                  </w:r>
                </w:p>
              </w:tc>
            </w:tr>
          </w:tbl>
          <w:p>
            <w:pPr>
              <w:adjustRightInd w:val="0"/>
              <w:snapToGrid w:val="0"/>
              <w:rPr>
                <w:u w:val="single"/>
              </w:rPr>
            </w:pPr>
          </w:p>
          <w:p>
            <w:pPr>
              <w:adjustRightInd w:val="0"/>
              <w:snapToGrid w:val="0"/>
              <w:spacing w:line="360" w:lineRule="auto"/>
              <w:ind w:firstLine="480" w:firstLineChars="200"/>
              <w:jc w:val="left"/>
              <w:rPr>
                <w:sz w:val="24"/>
                <w:szCs w:val="24"/>
                <w:u w:val="single"/>
              </w:rPr>
            </w:pPr>
            <w:r>
              <w:rPr>
                <w:rFonts w:hint="eastAsia"/>
                <w:sz w:val="24"/>
                <w:szCs w:val="24"/>
                <w:u w:val="single"/>
              </w:rPr>
              <w:t>对照《危险化学品重大危险源辨识》（GB18218-2009）与《建设项目环境风险评价技术导则》(HJ169-2018)中附录B相关内容进行辨识，对本项目的重大危险源的物质进行识别，见下表。</w:t>
            </w:r>
          </w:p>
          <w:p>
            <w:pPr>
              <w:adjustRightInd w:val="0"/>
              <w:snapToGrid w:val="0"/>
              <w:spacing w:line="360" w:lineRule="auto"/>
              <w:ind w:firstLine="241" w:firstLineChars="100"/>
              <w:jc w:val="center"/>
              <w:rPr>
                <w:sz w:val="24"/>
                <w:szCs w:val="24"/>
                <w:u w:val="single"/>
              </w:rPr>
            </w:pPr>
            <w:r>
              <w:rPr>
                <w:rFonts w:hint="eastAsia"/>
                <w:b/>
                <w:bCs/>
                <w:sz w:val="24"/>
                <w:szCs w:val="24"/>
                <w:u w:val="single"/>
              </w:rPr>
              <w:t>表5</w:t>
            </w:r>
            <w:r>
              <w:rPr>
                <w:rFonts w:hint="eastAsia"/>
                <w:b/>
                <w:bCs/>
                <w:sz w:val="24"/>
                <w:szCs w:val="24"/>
                <w:u w:val="single"/>
                <w:lang w:val="en-US" w:eastAsia="zh-CN"/>
              </w:rPr>
              <w:t>5</w:t>
            </w:r>
            <w:r>
              <w:rPr>
                <w:rFonts w:hint="eastAsia"/>
                <w:b/>
                <w:bCs/>
                <w:sz w:val="24"/>
                <w:szCs w:val="24"/>
                <w:u w:val="single"/>
              </w:rPr>
              <w:t xml:space="preserve">   重大危险源判定结果</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2188"/>
              <w:gridCol w:w="1623"/>
              <w:gridCol w:w="14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722" w:type="pct"/>
                  <w:noWrap/>
                  <w:vAlign w:val="center"/>
                </w:tcPr>
                <w:p>
                  <w:pPr>
                    <w:jc w:val="center"/>
                    <w:rPr>
                      <w:b/>
                      <w:bCs/>
                      <w:u w:val="single"/>
                    </w:rPr>
                  </w:pPr>
                  <w:r>
                    <w:rPr>
                      <w:rFonts w:hint="eastAsia"/>
                      <w:b/>
                      <w:bCs/>
                      <w:u w:val="single"/>
                    </w:rPr>
                    <w:t>物质名称</w:t>
                  </w:r>
                </w:p>
              </w:tc>
              <w:tc>
                <w:tcPr>
                  <w:tcW w:w="1364" w:type="pct"/>
                  <w:noWrap/>
                  <w:vAlign w:val="center"/>
                </w:tcPr>
                <w:p>
                  <w:pPr>
                    <w:jc w:val="center"/>
                    <w:rPr>
                      <w:b/>
                      <w:bCs/>
                      <w:u w:val="single"/>
                    </w:rPr>
                  </w:pPr>
                  <w:r>
                    <w:rPr>
                      <w:rFonts w:hint="eastAsia"/>
                      <w:b/>
                      <w:bCs/>
                      <w:u w:val="single"/>
                    </w:rPr>
                    <w:t>最大存储量(t)</w:t>
                  </w:r>
                </w:p>
              </w:tc>
              <w:tc>
                <w:tcPr>
                  <w:tcW w:w="1013" w:type="pct"/>
                  <w:noWrap/>
                  <w:vAlign w:val="center"/>
                </w:tcPr>
                <w:p>
                  <w:pPr>
                    <w:jc w:val="center"/>
                    <w:rPr>
                      <w:b/>
                      <w:bCs/>
                      <w:u w:val="single"/>
                    </w:rPr>
                  </w:pPr>
                  <w:r>
                    <w:rPr>
                      <w:rFonts w:hint="eastAsia"/>
                      <w:b/>
                      <w:bCs/>
                      <w:u w:val="single"/>
                    </w:rPr>
                    <w:t>临界量(t)</w:t>
                  </w:r>
                </w:p>
              </w:tc>
              <w:tc>
                <w:tcPr>
                  <w:tcW w:w="899" w:type="pct"/>
                  <w:noWrap/>
                  <w:vAlign w:val="center"/>
                </w:tcPr>
                <w:p>
                  <w:pPr>
                    <w:jc w:val="center"/>
                    <w:rPr>
                      <w:b/>
                      <w:bCs/>
                      <w:u w:val="single"/>
                    </w:rPr>
                  </w:pPr>
                  <w:r>
                    <w:rPr>
                      <w:rFonts w:hint="eastAsia"/>
                      <w:b/>
                      <w:bCs/>
                      <w:u w:val="single"/>
                    </w:rPr>
                    <w:t>qi/Qi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722" w:type="pct"/>
                  <w:noWrap/>
                  <w:vAlign w:val="center"/>
                </w:tcPr>
                <w:p>
                  <w:pPr>
                    <w:jc w:val="center"/>
                    <w:rPr>
                      <w:u w:val="single"/>
                    </w:rPr>
                  </w:pPr>
                  <w:r>
                    <w:rPr>
                      <w:rFonts w:hint="eastAsia"/>
                      <w:u w:val="single"/>
                    </w:rPr>
                    <w:t>废油液</w:t>
                  </w:r>
                </w:p>
              </w:tc>
              <w:tc>
                <w:tcPr>
                  <w:tcW w:w="1364" w:type="pct"/>
                  <w:noWrap/>
                  <w:vAlign w:val="center"/>
                </w:tcPr>
                <w:p>
                  <w:pPr>
                    <w:jc w:val="center"/>
                    <w:rPr>
                      <w:rFonts w:hint="eastAsia" w:eastAsiaTheme="minorEastAsia"/>
                      <w:u w:val="single"/>
                      <w:lang w:eastAsia="zh-CN"/>
                    </w:rPr>
                  </w:pPr>
                  <w:r>
                    <w:rPr>
                      <w:rFonts w:hint="eastAsia"/>
                      <w:u w:val="single"/>
                      <w:lang w:val="en-US" w:eastAsia="zh-CN"/>
                    </w:rPr>
                    <w:t>5</w:t>
                  </w:r>
                </w:p>
              </w:tc>
              <w:tc>
                <w:tcPr>
                  <w:tcW w:w="1013" w:type="pct"/>
                  <w:noWrap/>
                  <w:vAlign w:val="center"/>
                </w:tcPr>
                <w:p>
                  <w:pPr>
                    <w:jc w:val="center"/>
                    <w:rPr>
                      <w:u w:val="single"/>
                    </w:rPr>
                  </w:pPr>
                  <w:r>
                    <w:rPr>
                      <w:rFonts w:hint="eastAsia"/>
                      <w:u w:val="single"/>
                    </w:rPr>
                    <w:t>2500</w:t>
                  </w:r>
                </w:p>
              </w:tc>
              <w:tc>
                <w:tcPr>
                  <w:tcW w:w="899" w:type="pct"/>
                  <w:noWrap/>
                  <w:vAlign w:val="center"/>
                </w:tcPr>
                <w:p>
                  <w:pPr>
                    <w:jc w:val="center"/>
                    <w:rPr>
                      <w:u w:val="single"/>
                    </w:rPr>
                  </w:pPr>
                  <w:r>
                    <w:rPr>
                      <w:rFonts w:hint="eastAsia"/>
                      <w:u w:val="single"/>
                    </w:rPr>
                    <w:t>0.00</w:t>
                  </w:r>
                  <w:r>
                    <w:rPr>
                      <w:rFonts w:hint="eastAsia"/>
                      <w:u w:val="singl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722" w:type="pct"/>
                  <w:noWrap/>
                  <w:vAlign w:val="center"/>
                </w:tcPr>
                <w:p>
                  <w:pPr>
                    <w:jc w:val="center"/>
                    <w:rPr>
                      <w:u w:val="single"/>
                    </w:rPr>
                  </w:pPr>
                  <w:r>
                    <w:rPr>
                      <w:rFonts w:hint="eastAsia"/>
                      <w:u w:val="single"/>
                    </w:rPr>
                    <w:t>废机油</w:t>
                  </w:r>
                </w:p>
              </w:tc>
              <w:tc>
                <w:tcPr>
                  <w:tcW w:w="1364" w:type="pct"/>
                  <w:noWrap/>
                  <w:vAlign w:val="center"/>
                </w:tcPr>
                <w:p>
                  <w:pPr>
                    <w:jc w:val="center"/>
                    <w:rPr>
                      <w:u w:val="single"/>
                    </w:rPr>
                  </w:pPr>
                  <w:r>
                    <w:rPr>
                      <w:rFonts w:hint="eastAsia"/>
                      <w:u w:val="single"/>
                    </w:rPr>
                    <w:t>10</w:t>
                  </w:r>
                </w:p>
              </w:tc>
              <w:tc>
                <w:tcPr>
                  <w:tcW w:w="1013" w:type="pct"/>
                  <w:noWrap/>
                  <w:vAlign w:val="center"/>
                </w:tcPr>
                <w:p>
                  <w:pPr>
                    <w:jc w:val="center"/>
                    <w:rPr>
                      <w:rFonts w:hint="default" w:eastAsiaTheme="minorEastAsia"/>
                      <w:u w:val="single"/>
                      <w:lang w:val="en-US" w:eastAsia="zh-CN"/>
                    </w:rPr>
                  </w:pPr>
                  <w:r>
                    <w:rPr>
                      <w:rFonts w:hint="eastAsia"/>
                      <w:u w:val="single"/>
                      <w:lang w:val="en-US" w:eastAsia="zh-CN"/>
                    </w:rPr>
                    <w:t>2500</w:t>
                  </w:r>
                </w:p>
              </w:tc>
              <w:tc>
                <w:tcPr>
                  <w:tcW w:w="899" w:type="pct"/>
                  <w:noWrap/>
                  <w:vAlign w:val="center"/>
                </w:tcPr>
                <w:p>
                  <w:pPr>
                    <w:jc w:val="center"/>
                    <w:rPr>
                      <w:u w:val="single"/>
                    </w:rPr>
                  </w:pPr>
                  <w:r>
                    <w:rPr>
                      <w:rFonts w:hint="eastAsia"/>
                      <w:u w:val="single"/>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722" w:type="pct"/>
                  <w:noWrap/>
                  <w:vAlign w:val="center"/>
                </w:tcPr>
                <w:p>
                  <w:pPr>
                    <w:jc w:val="center"/>
                    <w:rPr>
                      <w:rFonts w:hint="eastAsia" w:eastAsiaTheme="minorEastAsia"/>
                      <w:u w:val="single"/>
                      <w:lang w:eastAsia="zh-CN"/>
                    </w:rPr>
                  </w:pPr>
                  <w:r>
                    <w:rPr>
                      <w:rFonts w:hint="eastAsia"/>
                      <w:u w:val="single"/>
                      <w:lang w:eastAsia="zh-CN"/>
                    </w:rPr>
                    <w:t>废铅酸蓄电池（含硫酸）</w:t>
                  </w:r>
                </w:p>
              </w:tc>
              <w:tc>
                <w:tcPr>
                  <w:tcW w:w="1364" w:type="pct"/>
                  <w:noWrap/>
                  <w:vAlign w:val="center"/>
                </w:tcPr>
                <w:p>
                  <w:pPr>
                    <w:jc w:val="center"/>
                    <w:rPr>
                      <w:rFonts w:hint="default" w:eastAsiaTheme="minorEastAsia"/>
                      <w:u w:val="single"/>
                      <w:lang w:val="en-US" w:eastAsia="zh-CN"/>
                    </w:rPr>
                  </w:pPr>
                  <w:r>
                    <w:rPr>
                      <w:rFonts w:hint="eastAsia"/>
                      <w:u w:val="single"/>
                      <w:lang w:val="en-US" w:eastAsia="zh-CN"/>
                    </w:rPr>
                    <w:t>1</w:t>
                  </w:r>
                </w:p>
              </w:tc>
              <w:tc>
                <w:tcPr>
                  <w:tcW w:w="1013" w:type="pct"/>
                  <w:noWrap/>
                  <w:vAlign w:val="center"/>
                </w:tcPr>
                <w:p>
                  <w:pPr>
                    <w:jc w:val="center"/>
                    <w:rPr>
                      <w:rFonts w:hint="default"/>
                      <w:u w:val="single"/>
                      <w:lang w:val="en-US" w:eastAsia="zh-CN"/>
                    </w:rPr>
                  </w:pPr>
                  <w:r>
                    <w:rPr>
                      <w:rFonts w:hint="eastAsia"/>
                      <w:u w:val="single"/>
                      <w:lang w:val="en-US" w:eastAsia="zh-CN"/>
                    </w:rPr>
                    <w:t>10</w:t>
                  </w:r>
                </w:p>
              </w:tc>
              <w:tc>
                <w:tcPr>
                  <w:tcW w:w="899" w:type="pct"/>
                  <w:noWrap/>
                  <w:vAlign w:val="center"/>
                </w:tcPr>
                <w:p>
                  <w:pPr>
                    <w:jc w:val="center"/>
                    <w:rPr>
                      <w:rFonts w:hint="default" w:eastAsiaTheme="minorEastAsia"/>
                      <w:u w:val="single"/>
                      <w:lang w:val="en-US" w:eastAsia="zh-CN"/>
                    </w:rPr>
                  </w:pPr>
                  <w:r>
                    <w:rPr>
                      <w:rFonts w:hint="eastAsia"/>
                      <w:u w:val="single"/>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722" w:type="pct"/>
                  <w:noWrap/>
                  <w:vAlign w:val="center"/>
                </w:tcPr>
                <w:p>
                  <w:pPr>
                    <w:jc w:val="center"/>
                    <w:rPr>
                      <w:u w:val="single"/>
                    </w:rPr>
                  </w:pPr>
                  <w:r>
                    <w:rPr>
                      <w:rFonts w:hint="eastAsia"/>
                      <w:u w:val="single"/>
                    </w:rPr>
                    <w:t>共计</w:t>
                  </w:r>
                </w:p>
              </w:tc>
              <w:tc>
                <w:tcPr>
                  <w:tcW w:w="1364" w:type="pct"/>
                  <w:noWrap/>
                  <w:vAlign w:val="center"/>
                </w:tcPr>
                <w:p>
                  <w:pPr>
                    <w:jc w:val="center"/>
                    <w:rPr>
                      <w:u w:val="single"/>
                    </w:rPr>
                  </w:pPr>
                  <w:r>
                    <w:rPr>
                      <w:rFonts w:hint="eastAsia"/>
                      <w:u w:val="single"/>
                    </w:rPr>
                    <w:t>1</w:t>
                  </w:r>
                </w:p>
              </w:tc>
              <w:tc>
                <w:tcPr>
                  <w:tcW w:w="1013" w:type="pct"/>
                  <w:noWrap/>
                  <w:vAlign w:val="center"/>
                </w:tcPr>
                <w:p>
                  <w:pPr>
                    <w:jc w:val="center"/>
                    <w:rPr>
                      <w:u w:val="single"/>
                    </w:rPr>
                  </w:pPr>
                  <w:r>
                    <w:rPr>
                      <w:rFonts w:hint="eastAsia"/>
                      <w:u w:val="single"/>
                    </w:rPr>
                    <w:t>--</w:t>
                  </w:r>
                </w:p>
              </w:tc>
              <w:tc>
                <w:tcPr>
                  <w:tcW w:w="899" w:type="pct"/>
                  <w:noWrap/>
                  <w:vAlign w:val="center"/>
                </w:tcPr>
                <w:p>
                  <w:pPr>
                    <w:jc w:val="center"/>
                    <w:rPr>
                      <w:u w:val="single"/>
                    </w:rPr>
                  </w:pPr>
                  <w:r>
                    <w:rPr>
                      <w:rFonts w:hint="eastAsia"/>
                      <w:u w:val="single"/>
                    </w:rPr>
                    <w:t>0.</w:t>
                  </w:r>
                  <w:r>
                    <w:rPr>
                      <w:rFonts w:hint="eastAsia"/>
                      <w:u w:val="single"/>
                      <w:lang w:val="en-US" w:eastAsia="zh-CN"/>
                    </w:rPr>
                    <w:t>106</w:t>
                  </w:r>
                </w:p>
              </w:tc>
            </w:tr>
          </w:tbl>
          <w:p>
            <w:pPr>
              <w:adjustRightInd w:val="0"/>
              <w:snapToGrid w:val="0"/>
              <w:rPr>
                <w:sz w:val="24"/>
                <w:szCs w:val="24"/>
                <w:u w:val="single"/>
              </w:rPr>
            </w:pPr>
            <w:r>
              <w:rPr>
                <w:rFonts w:hint="eastAsia"/>
                <w:sz w:val="24"/>
                <w:szCs w:val="24"/>
                <w:u w:val="single"/>
              </w:rPr>
              <w:t>本项目Q=0.</w:t>
            </w:r>
            <w:r>
              <w:rPr>
                <w:rFonts w:hint="default"/>
                <w:sz w:val="24"/>
                <w:szCs w:val="24"/>
                <w:u w:val="single"/>
                <w:lang w:val="en-US"/>
              </w:rPr>
              <w:t>106</w:t>
            </w:r>
            <w:r>
              <w:rPr>
                <w:rFonts w:hint="eastAsia"/>
                <w:sz w:val="24"/>
                <w:szCs w:val="24"/>
                <w:u w:val="single"/>
              </w:rPr>
              <w:t>&lt;1。</w:t>
            </w:r>
          </w:p>
          <w:p>
            <w:pPr>
              <w:widowControl/>
              <w:spacing w:line="360" w:lineRule="auto"/>
              <w:ind w:firstLine="480" w:firstLineChars="200"/>
              <w:textAlignment w:val="center"/>
              <w:rPr>
                <w:sz w:val="24"/>
                <w:szCs w:val="24"/>
                <w:u w:val="single"/>
              </w:rPr>
            </w:pPr>
            <w:r>
              <w:rPr>
                <w:rFonts w:hint="eastAsia"/>
                <w:sz w:val="24"/>
                <w:szCs w:val="24"/>
                <w:u w:val="single"/>
              </w:rPr>
              <w:t>由上表可知，本项目危险物质的贮存量低于《建设项目环境风险评价技术导则》（HJ169-2018）附录B及《企业突发环境事件风险分级方法》(HJ941-2018)规定的贮存场所临界量，属于非重大危险源，本拟建工程危险物质与临界量比值为 0.</w:t>
            </w:r>
            <w:r>
              <w:rPr>
                <w:rFonts w:hint="default"/>
                <w:sz w:val="24"/>
                <w:szCs w:val="24"/>
                <w:u w:val="single"/>
                <w:lang w:val="en-US"/>
              </w:rPr>
              <w:t>106</w:t>
            </w:r>
            <w:r>
              <w:rPr>
                <w:rFonts w:hint="eastAsia"/>
                <w:sz w:val="24"/>
                <w:szCs w:val="24"/>
                <w:u w:val="single"/>
              </w:rPr>
              <w:t>&lt;1，无需设置风险评价专章。</w:t>
            </w:r>
          </w:p>
          <w:p>
            <w:pPr>
              <w:pStyle w:val="51"/>
              <w:rPr>
                <w:b/>
                <w:bCs/>
                <w:sz w:val="24"/>
                <w:szCs w:val="24"/>
                <w:u w:val="single"/>
              </w:rPr>
            </w:pPr>
            <w:r>
              <w:rPr>
                <w:rFonts w:hint="eastAsia"/>
                <w:b/>
                <w:bCs/>
                <w:sz w:val="24"/>
                <w:szCs w:val="24"/>
                <w:u w:val="single"/>
              </w:rPr>
              <w:t>（2）风险源环境影响途径</w:t>
            </w:r>
          </w:p>
          <w:p>
            <w:pPr>
              <w:adjustRightInd w:val="0"/>
              <w:snapToGrid w:val="0"/>
              <w:spacing w:line="360" w:lineRule="auto"/>
              <w:ind w:firstLine="480" w:firstLineChars="200"/>
              <w:rPr>
                <w:sz w:val="24"/>
                <w:szCs w:val="24"/>
                <w:u w:val="single"/>
              </w:rPr>
            </w:pPr>
            <w:r>
              <w:rPr>
                <w:rFonts w:hint="eastAsia"/>
                <w:sz w:val="24"/>
                <w:szCs w:val="24"/>
                <w:u w:val="single"/>
              </w:rPr>
              <w:t>①泄漏事故原因</w:t>
            </w:r>
          </w:p>
          <w:p>
            <w:pPr>
              <w:adjustRightInd w:val="0"/>
              <w:snapToGrid w:val="0"/>
              <w:spacing w:line="360" w:lineRule="auto"/>
              <w:ind w:firstLine="480" w:firstLineChars="200"/>
              <w:rPr>
                <w:sz w:val="24"/>
                <w:szCs w:val="24"/>
                <w:u w:val="single"/>
              </w:rPr>
            </w:pPr>
            <w:r>
              <w:rPr>
                <w:rFonts w:hint="eastAsia"/>
                <w:sz w:val="24"/>
                <w:szCs w:val="24"/>
                <w:u w:val="single"/>
              </w:rPr>
              <w:t>发生废油、废液泄漏的原因主要是：废油储罐（桶）出现破裂导致泄漏，引起的泄漏和次生火灾爆炸。</w:t>
            </w:r>
          </w:p>
          <w:p>
            <w:pPr>
              <w:adjustRightInd w:val="0"/>
              <w:snapToGrid w:val="0"/>
              <w:spacing w:line="360" w:lineRule="auto"/>
              <w:ind w:firstLine="480" w:firstLineChars="200"/>
              <w:rPr>
                <w:sz w:val="24"/>
                <w:szCs w:val="24"/>
                <w:u w:val="single"/>
              </w:rPr>
            </w:pPr>
            <w:r>
              <w:rPr>
                <w:rFonts w:hint="eastAsia"/>
                <w:sz w:val="24"/>
                <w:szCs w:val="24"/>
                <w:u w:val="single"/>
              </w:rPr>
              <w:t>②火灾爆炸事故原因</w:t>
            </w:r>
          </w:p>
          <w:p>
            <w:pPr>
              <w:adjustRightInd w:val="0"/>
              <w:snapToGrid w:val="0"/>
              <w:spacing w:line="360" w:lineRule="auto"/>
              <w:ind w:firstLine="480" w:firstLineChars="200"/>
              <w:rPr>
                <w:sz w:val="24"/>
                <w:szCs w:val="24"/>
                <w:u w:val="single"/>
              </w:rPr>
            </w:pPr>
            <w:r>
              <w:rPr>
                <w:rFonts w:hint="eastAsia"/>
                <w:sz w:val="24"/>
                <w:szCs w:val="24"/>
                <w:u w:val="single"/>
              </w:rPr>
              <w:t>发生火灾、爆炸的原因主要是：</w:t>
            </w:r>
          </w:p>
          <w:p>
            <w:pPr>
              <w:adjustRightInd w:val="0"/>
              <w:snapToGrid w:val="0"/>
              <w:spacing w:line="360" w:lineRule="auto"/>
              <w:ind w:firstLine="480" w:firstLineChars="200"/>
              <w:rPr>
                <w:sz w:val="24"/>
                <w:szCs w:val="24"/>
                <w:u w:val="single"/>
              </w:rPr>
            </w:pPr>
            <w:r>
              <w:rPr>
                <w:rFonts w:hint="eastAsia"/>
                <w:sz w:val="24"/>
                <w:szCs w:val="24"/>
                <w:u w:val="single"/>
              </w:rPr>
              <w:t>厂区内不慎有明火引燃废油；</w:t>
            </w:r>
          </w:p>
          <w:p>
            <w:pPr>
              <w:adjustRightInd w:val="0"/>
              <w:snapToGrid w:val="0"/>
              <w:spacing w:line="360" w:lineRule="auto"/>
              <w:ind w:firstLine="480" w:firstLineChars="200"/>
              <w:rPr>
                <w:sz w:val="24"/>
                <w:szCs w:val="24"/>
                <w:u w:val="single"/>
              </w:rPr>
            </w:pPr>
            <w:r>
              <w:rPr>
                <w:rFonts w:hint="eastAsia"/>
                <w:sz w:val="24"/>
                <w:szCs w:val="24"/>
                <w:u w:val="single"/>
              </w:rPr>
              <w:t>危废间危险废物遇明火引燃等原因造成的火灾；</w:t>
            </w:r>
          </w:p>
          <w:p>
            <w:pPr>
              <w:adjustRightInd w:val="0"/>
              <w:snapToGrid w:val="0"/>
              <w:spacing w:line="360" w:lineRule="auto"/>
              <w:ind w:firstLine="480" w:firstLineChars="200"/>
              <w:rPr>
                <w:sz w:val="24"/>
                <w:szCs w:val="24"/>
                <w:u w:val="single"/>
              </w:rPr>
            </w:pPr>
            <w:r>
              <w:rPr>
                <w:rFonts w:hint="eastAsia"/>
                <w:sz w:val="24"/>
                <w:szCs w:val="24"/>
                <w:u w:val="single"/>
              </w:rPr>
              <w:t>遇明火发生燃烧、火灾或爆炸等事故。</w:t>
            </w:r>
          </w:p>
          <w:p>
            <w:pPr>
              <w:adjustRightInd w:val="0"/>
              <w:snapToGrid w:val="0"/>
              <w:spacing w:line="360" w:lineRule="auto"/>
              <w:ind w:firstLine="480" w:firstLineChars="200"/>
              <w:rPr>
                <w:sz w:val="24"/>
                <w:szCs w:val="24"/>
                <w:u w:val="single"/>
              </w:rPr>
            </w:pPr>
            <w:r>
              <w:rPr>
                <w:rFonts w:hint="eastAsia"/>
                <w:sz w:val="24"/>
                <w:szCs w:val="24"/>
                <w:u w:val="single"/>
              </w:rPr>
              <w:t>③风险事故影响途径</w:t>
            </w:r>
          </w:p>
          <w:p>
            <w:pPr>
              <w:adjustRightInd w:val="0"/>
              <w:snapToGrid w:val="0"/>
              <w:spacing w:line="360" w:lineRule="auto"/>
              <w:rPr>
                <w:sz w:val="24"/>
                <w:szCs w:val="24"/>
                <w:u w:val="single"/>
              </w:rPr>
            </w:pPr>
            <w:r>
              <w:rPr>
                <w:rFonts w:hint="eastAsia"/>
                <w:sz w:val="24"/>
                <w:szCs w:val="24"/>
                <w:u w:val="single"/>
              </w:rPr>
              <w:t xml:space="preserve">    a.环境空气：油类燃烧释放的大量的有害气体，造成大气环境污染；蓄电池含铅废气会对周边人群健康造成影响；火灾产生的有害气体会影响周边环境及人群健。</w:t>
            </w:r>
          </w:p>
          <w:p>
            <w:pPr>
              <w:adjustRightInd w:val="0"/>
              <w:snapToGrid w:val="0"/>
              <w:spacing w:line="360" w:lineRule="auto"/>
              <w:ind w:firstLine="480" w:firstLineChars="200"/>
              <w:rPr>
                <w:sz w:val="24"/>
                <w:szCs w:val="24"/>
                <w:u w:val="single"/>
              </w:rPr>
            </w:pPr>
            <w:r>
              <w:rPr>
                <w:rFonts w:hint="eastAsia"/>
                <w:sz w:val="24"/>
                <w:szCs w:val="24"/>
                <w:u w:val="single"/>
              </w:rPr>
              <w:t>b.地表水环境：油类物质泄漏，可能随地表径流对地表水环境造成一定的影响。</w:t>
            </w:r>
          </w:p>
          <w:p>
            <w:pPr>
              <w:adjustRightInd w:val="0"/>
              <w:snapToGrid w:val="0"/>
              <w:spacing w:line="360" w:lineRule="auto"/>
              <w:ind w:firstLine="480" w:firstLineChars="200"/>
              <w:rPr>
                <w:rFonts w:hint="eastAsia"/>
                <w:sz w:val="24"/>
                <w:szCs w:val="24"/>
                <w:u w:val="single"/>
              </w:rPr>
            </w:pPr>
            <w:r>
              <w:rPr>
                <w:rFonts w:hint="eastAsia"/>
                <w:sz w:val="24"/>
                <w:szCs w:val="24"/>
                <w:u w:val="single"/>
              </w:rPr>
              <w:t>c.地下水、土壤环境：油类物质可能导致对地下水、土壤环境造成污染。</w:t>
            </w:r>
          </w:p>
          <w:p>
            <w:pPr>
              <w:adjustRightInd w:val="0"/>
              <w:snapToGrid w:val="0"/>
              <w:spacing w:line="360" w:lineRule="auto"/>
              <w:ind w:firstLine="482" w:firstLineChars="200"/>
              <w:rPr>
                <w:b/>
                <w:bCs/>
                <w:sz w:val="24"/>
                <w:szCs w:val="24"/>
                <w:u w:val="single"/>
              </w:rPr>
            </w:pPr>
            <w:r>
              <w:rPr>
                <w:rFonts w:hint="eastAsia"/>
                <w:b/>
                <w:bCs/>
                <w:sz w:val="24"/>
                <w:szCs w:val="24"/>
                <w:u w:val="single"/>
              </w:rPr>
              <w:t>（3）风险防范措施</w:t>
            </w:r>
          </w:p>
          <w:p>
            <w:pPr>
              <w:adjustRightInd w:val="0"/>
              <w:snapToGrid w:val="0"/>
              <w:spacing w:line="360" w:lineRule="auto"/>
              <w:ind w:firstLine="480" w:firstLineChars="200"/>
              <w:rPr>
                <w:sz w:val="24"/>
                <w:szCs w:val="24"/>
                <w:u w:val="single"/>
              </w:rPr>
            </w:pPr>
            <w:r>
              <w:rPr>
                <w:rFonts w:hint="eastAsia"/>
                <w:sz w:val="24"/>
                <w:szCs w:val="24"/>
                <w:u w:val="single"/>
              </w:rPr>
              <w:t>①厂区要严格遵守国家有关防火防爆的安全规定，各生产区域装置及建筑物间考虑足够的安全防火距离，并布置相应的消防通道、消防水池以及足够的消防器材等装置，设置救援通道、应急疏散及避难所，并要有专人负责管理。厂区内全面禁火。</w:t>
            </w:r>
          </w:p>
          <w:p>
            <w:pPr>
              <w:adjustRightInd w:val="0"/>
              <w:snapToGrid w:val="0"/>
              <w:spacing w:line="360" w:lineRule="auto"/>
              <w:ind w:firstLine="480" w:firstLineChars="200"/>
              <w:rPr>
                <w:sz w:val="24"/>
                <w:szCs w:val="24"/>
                <w:u w:val="single"/>
              </w:rPr>
            </w:pPr>
            <w:r>
              <w:rPr>
                <w:rFonts w:hint="eastAsia"/>
                <w:sz w:val="24"/>
                <w:szCs w:val="24"/>
                <w:u w:val="single"/>
              </w:rPr>
              <w:t>②危险废物分类收集，暂存于危废暂存间内，交由有资质部门统一处理。严禁将各类危险废物转移给没有相应处理资质及能力的单位。</w:t>
            </w:r>
          </w:p>
          <w:p>
            <w:pPr>
              <w:adjustRightInd w:val="0"/>
              <w:snapToGrid w:val="0"/>
              <w:spacing w:line="360" w:lineRule="auto"/>
              <w:ind w:firstLine="480" w:firstLineChars="200"/>
              <w:rPr>
                <w:sz w:val="24"/>
                <w:szCs w:val="24"/>
                <w:u w:val="single"/>
              </w:rPr>
            </w:pPr>
            <w:r>
              <w:rPr>
                <w:rFonts w:hint="eastAsia"/>
                <w:sz w:val="24"/>
                <w:szCs w:val="24"/>
                <w:u w:val="single"/>
              </w:rPr>
              <w:t>③强化安全生产管理，必须制订岗位责任制，将责任落实到部门和个人，严格遵守操作规程，严格遵守《化学危险品管理条例》及国家、地方关于易燃、易爆、有毒有害物料的储运使用安全规定。强化安全生产及环境保护意识的教育，提高职工的素质。 建立健全环保及安全管理部门。</w:t>
            </w:r>
          </w:p>
          <w:p>
            <w:pPr>
              <w:adjustRightInd w:val="0"/>
              <w:snapToGrid w:val="0"/>
              <w:spacing w:line="360" w:lineRule="auto"/>
              <w:ind w:firstLine="480" w:firstLineChars="200"/>
              <w:rPr>
                <w:sz w:val="24"/>
                <w:szCs w:val="24"/>
                <w:u w:val="single"/>
              </w:rPr>
            </w:pPr>
            <w:r>
              <w:rPr>
                <w:rFonts w:hint="eastAsia"/>
                <w:sz w:val="24"/>
                <w:szCs w:val="24"/>
                <w:u w:val="single"/>
              </w:rPr>
              <w:t>④厂房要加强排风，电气设备须选用防腐、防爆型，电源绝缘良好，防止产生电火花，接地牢靠，防止产生静电。</w:t>
            </w:r>
          </w:p>
          <w:p>
            <w:pPr>
              <w:adjustRightInd w:val="0"/>
              <w:snapToGrid w:val="0"/>
              <w:spacing w:line="360" w:lineRule="auto"/>
              <w:ind w:firstLine="480" w:firstLineChars="200"/>
              <w:rPr>
                <w:sz w:val="24"/>
                <w:szCs w:val="24"/>
                <w:u w:val="single"/>
              </w:rPr>
            </w:pPr>
            <w:r>
              <w:rPr>
                <w:rFonts w:hint="eastAsia"/>
                <w:sz w:val="24"/>
                <w:szCs w:val="24"/>
                <w:u w:val="single"/>
              </w:rPr>
              <w:t>⑤选择合理的运输路线，尽量避开人口稠密区及居民生活区，对驾驶员要进行严格的培训和资格论证。</w:t>
            </w:r>
          </w:p>
          <w:p>
            <w:pPr>
              <w:adjustRightInd w:val="0"/>
              <w:snapToGrid w:val="0"/>
              <w:spacing w:line="360" w:lineRule="auto"/>
              <w:ind w:firstLine="480" w:firstLineChars="200"/>
              <w:rPr>
                <w:sz w:val="24"/>
                <w:szCs w:val="24"/>
                <w:u w:val="single"/>
              </w:rPr>
            </w:pPr>
            <w:r>
              <w:rPr>
                <w:rFonts w:hint="eastAsia"/>
                <w:sz w:val="24"/>
                <w:szCs w:val="24"/>
                <w:u w:val="single"/>
              </w:rPr>
              <w:t>⑥废</w:t>
            </w:r>
            <w:r>
              <w:rPr>
                <w:rFonts w:hint="eastAsia"/>
                <w:sz w:val="24"/>
                <w:szCs w:val="24"/>
                <w:u w:val="single"/>
                <w:lang w:eastAsia="zh-CN"/>
              </w:rPr>
              <w:t>铅</w:t>
            </w:r>
            <w:r>
              <w:rPr>
                <w:rFonts w:hint="eastAsia"/>
                <w:sz w:val="24"/>
                <w:szCs w:val="24"/>
                <w:u w:val="single"/>
              </w:rPr>
              <w:t>蓄电池和废油液储区分别设置围堰，围堰高度不低于0.15m，还应满足危废间内最大危险废物容器储量，满足事故状态下可以对泄漏危险物质进行拦截和回收要求。</w:t>
            </w:r>
          </w:p>
          <w:p>
            <w:pPr>
              <w:adjustRightInd w:val="0"/>
              <w:snapToGrid w:val="0"/>
              <w:spacing w:line="360" w:lineRule="auto"/>
              <w:ind w:firstLine="480" w:firstLineChars="200"/>
              <w:rPr>
                <w:rFonts w:hint="eastAsia"/>
                <w:sz w:val="24"/>
                <w:szCs w:val="24"/>
                <w:u w:val="single"/>
              </w:rPr>
            </w:pPr>
            <w:r>
              <w:rPr>
                <w:rFonts w:hint="eastAsia"/>
                <w:sz w:val="24"/>
                <w:szCs w:val="24"/>
                <w:u w:val="single"/>
              </w:rPr>
              <w:t>⑦拆解车间、沉淀池等区域一般防渗区采用粘土、高密度聚乙烯土工膜（HDPE）进行防渗处理，等效黏土Mb≥1.5m， K≤1.0×10-7cm/s，再做好基层防渗的基础上进行水泥硬化。</w:t>
            </w:r>
          </w:p>
          <w:p>
            <w:pPr>
              <w:adjustRightInd w:val="0"/>
              <w:snapToGrid w:val="0"/>
              <w:spacing w:line="360" w:lineRule="auto"/>
              <w:ind w:firstLine="480" w:firstLineChars="200"/>
              <w:rPr>
                <w:color w:val="000000" w:themeColor="text1"/>
                <w:sz w:val="24"/>
                <w:u w:val="single"/>
              </w:rPr>
            </w:pPr>
            <w:r>
              <w:rPr>
                <w:rFonts w:hint="eastAsia"/>
                <w:sz w:val="24"/>
                <w:szCs w:val="24"/>
                <w:u w:val="single"/>
              </w:rPr>
              <w:t>⑧</w:t>
            </w:r>
            <w:r>
              <w:rPr>
                <w:rFonts w:hint="eastAsia"/>
                <w:sz w:val="24"/>
                <w:szCs w:val="24"/>
                <w:u w:val="single"/>
                <w:lang w:eastAsia="zh-CN"/>
              </w:rPr>
              <w:t>废机油储</w:t>
            </w:r>
            <w:r>
              <w:rPr>
                <w:color w:val="000000" w:themeColor="text1"/>
                <w:sz w:val="24"/>
                <w:u w:val="single"/>
              </w:rPr>
              <w:t>罐区建设</w:t>
            </w:r>
            <w:r>
              <w:rPr>
                <w:rFonts w:hint="eastAsia"/>
                <w:color w:val="000000" w:themeColor="text1"/>
                <w:sz w:val="24"/>
                <w:u w:val="single"/>
                <w:lang w:eastAsia="zh-CN"/>
              </w:rPr>
              <w:t>围堤</w:t>
            </w:r>
            <w:r>
              <w:rPr>
                <w:color w:val="000000" w:themeColor="text1"/>
                <w:sz w:val="24"/>
                <w:u w:val="single"/>
              </w:rPr>
              <w:t>，采用水泥地面防渗处理，油罐平地设置并采取结构加固及基础抬高，储油罐发生泄漏时，油品被</w:t>
            </w:r>
            <w:r>
              <w:rPr>
                <w:rFonts w:hint="eastAsia"/>
                <w:color w:val="000000" w:themeColor="text1"/>
                <w:sz w:val="24"/>
                <w:u w:val="single"/>
                <w:lang w:eastAsia="zh-CN"/>
              </w:rPr>
              <w:t>围堤</w:t>
            </w:r>
            <w:r>
              <w:rPr>
                <w:color w:val="000000" w:themeColor="text1"/>
                <w:sz w:val="24"/>
                <w:u w:val="single"/>
              </w:rPr>
              <w:t>拦截。</w:t>
            </w:r>
            <w:r>
              <w:rPr>
                <w:rFonts w:hint="eastAsia"/>
                <w:color w:val="000000" w:themeColor="text1"/>
                <w:sz w:val="24"/>
                <w:u w:val="single"/>
                <w:lang w:eastAsia="zh-CN"/>
              </w:rPr>
              <w:t>围堤</w:t>
            </w:r>
            <w:r>
              <w:rPr>
                <w:color w:val="000000" w:themeColor="text1"/>
                <w:sz w:val="24"/>
                <w:u w:val="single"/>
              </w:rPr>
              <w:t>高0.</w:t>
            </w:r>
            <w:r>
              <w:rPr>
                <w:rFonts w:hint="eastAsia"/>
                <w:color w:val="000000" w:themeColor="text1"/>
                <w:sz w:val="24"/>
                <w:u w:val="single"/>
              </w:rPr>
              <w:t>5</w:t>
            </w:r>
            <w:r>
              <w:rPr>
                <w:color w:val="000000" w:themeColor="text1"/>
                <w:sz w:val="24"/>
                <w:u w:val="single"/>
              </w:rPr>
              <w:t>m，泄漏的油品采用泵抽吸至事故池内。</w:t>
            </w:r>
          </w:p>
          <w:p>
            <w:pPr>
              <w:adjustRightInd w:val="0"/>
              <w:snapToGrid w:val="0"/>
              <w:spacing w:line="360" w:lineRule="auto"/>
              <w:ind w:firstLine="480" w:firstLineChars="200"/>
              <w:rPr>
                <w:sz w:val="24"/>
                <w:szCs w:val="24"/>
                <w:u w:val="single"/>
              </w:rPr>
            </w:pPr>
            <w:r>
              <w:rPr>
                <w:rFonts w:hint="eastAsia"/>
                <w:sz w:val="24"/>
                <w:szCs w:val="24"/>
                <w:u w:val="single"/>
              </w:rPr>
              <w:t>⑨企业污染防治措施应落实到位，并保证日常维护和保养，避免因污染防治设施故障导致环境污染事件。</w:t>
            </w:r>
          </w:p>
          <w:p>
            <w:pPr>
              <w:adjustRightInd w:val="0"/>
              <w:snapToGrid w:val="0"/>
              <w:spacing w:line="360" w:lineRule="auto"/>
              <w:ind w:firstLine="480" w:firstLineChars="200"/>
              <w:rPr>
                <w:sz w:val="24"/>
                <w:szCs w:val="24"/>
                <w:u w:val="single"/>
              </w:rPr>
            </w:pPr>
            <w:r>
              <w:rPr>
                <w:rFonts w:hint="eastAsia"/>
                <w:sz w:val="24"/>
                <w:szCs w:val="24"/>
                <w:u w:val="single"/>
              </w:rPr>
              <w:t>⑩消防设施、设备泄漏应急处理设施应定期清点、盘查，及时更新更换相关设施和设备。</w:t>
            </w:r>
          </w:p>
          <w:p>
            <w:pPr>
              <w:adjustRightInd w:val="0"/>
              <w:snapToGrid w:val="0"/>
              <w:spacing w:line="360" w:lineRule="auto"/>
              <w:ind w:firstLine="480" w:firstLineChars="200"/>
              <w:rPr>
                <w:sz w:val="24"/>
                <w:szCs w:val="24"/>
                <w:u w:val="single"/>
              </w:rPr>
            </w:pPr>
            <w:r>
              <w:rPr>
                <w:rFonts w:hint="eastAsia" w:ascii="宋体" w:hAnsi="宋体" w:eastAsia="宋体" w:cs="宋体"/>
                <w:sz w:val="24"/>
                <w:szCs w:val="24"/>
                <w:u w:val="single"/>
              </w:rPr>
              <w:t>⑪</w:t>
            </w:r>
            <w:r>
              <w:rPr>
                <w:rFonts w:hint="eastAsia"/>
                <w:sz w:val="24"/>
                <w:szCs w:val="24"/>
                <w:u w:val="single"/>
              </w:rPr>
              <w:t>停车场、拆解物仓库应设置围堰，避免雨水倒灌，同时可以预防事故状态下，液态污染物污染周边外环境。</w:t>
            </w:r>
          </w:p>
          <w:p>
            <w:pPr>
              <w:adjustRightInd w:val="0"/>
              <w:snapToGrid w:val="0"/>
              <w:spacing w:line="360" w:lineRule="auto"/>
              <w:ind w:firstLine="480" w:firstLineChars="200"/>
              <w:rPr>
                <w:rFonts w:hint="eastAsia"/>
                <w:sz w:val="24"/>
                <w:szCs w:val="24"/>
                <w:u w:val="single"/>
              </w:rPr>
            </w:pPr>
            <w:r>
              <w:rPr>
                <w:rFonts w:hint="eastAsia" w:ascii="宋体" w:hAnsi="宋体" w:eastAsia="宋体" w:cs="宋体"/>
                <w:sz w:val="24"/>
                <w:szCs w:val="24"/>
                <w:u w:val="single"/>
              </w:rPr>
              <w:t>⑫</w:t>
            </w:r>
            <w:r>
              <w:rPr>
                <w:rFonts w:hint="eastAsia"/>
                <w:sz w:val="24"/>
                <w:szCs w:val="24"/>
                <w:u w:val="single"/>
              </w:rPr>
              <w:t>危险废物暂存间地面采取HDPE膜及防渗混凝土防组合防渗层，裙角采用防渗混凝土结构；危险废物暂存间内备有HDPE材质应急泄漏液体收集设备；设有围堰，围堰高度不低于0.15m；同时危险废物暂存间设有排风扇，设有良好照明设施，排风扇定期排风，避免暂存间内空气流通不畅；同时设有气体导排和净化装置，废气污染物经收集和活性炭吸附处理后，15m高排放。</w:t>
            </w:r>
          </w:p>
          <w:p>
            <w:pPr>
              <w:adjustRightInd w:val="0"/>
              <w:snapToGrid w:val="0"/>
              <w:spacing w:line="360" w:lineRule="auto"/>
              <w:ind w:firstLine="480" w:firstLineChars="200"/>
              <w:rPr>
                <w:color w:val="auto"/>
                <w:sz w:val="24"/>
                <w:szCs w:val="24"/>
                <w:u w:val="single"/>
              </w:rPr>
            </w:pPr>
            <w:r>
              <w:rPr>
                <w:rFonts w:hint="eastAsia"/>
                <w:sz w:val="24"/>
                <w:szCs w:val="24"/>
                <w:u w:val="single"/>
              </w:rPr>
              <w:t>根据国家和地方相关规定，编制并完善突发环境事件应急预案。本项目在管理不善、地面损坏或其它人为、自然因素导</w:t>
            </w:r>
            <w:r>
              <w:rPr>
                <w:rFonts w:hint="eastAsia"/>
                <w:u w:val="single"/>
              </w:rPr>
              <w:t>致危险废物、废水</w:t>
            </w:r>
            <w:r>
              <w:rPr>
                <w:rFonts w:hint="eastAsia"/>
                <w:color w:val="auto"/>
                <w:sz w:val="24"/>
                <w:szCs w:val="24"/>
                <w:u w:val="single"/>
              </w:rPr>
              <w:t>外泄。会影响地下水，必须严格控制，防止此类事情的发生。</w:t>
            </w:r>
          </w:p>
          <w:p>
            <w:pPr>
              <w:adjustRightInd w:val="0"/>
              <w:snapToGrid w:val="0"/>
              <w:spacing w:line="360" w:lineRule="auto"/>
              <w:ind w:firstLine="482" w:firstLineChars="200"/>
              <w:rPr>
                <w:b/>
                <w:bCs/>
                <w:color w:val="auto"/>
                <w:sz w:val="24"/>
                <w:szCs w:val="24"/>
                <w:u w:val="single"/>
              </w:rPr>
            </w:pPr>
            <w:r>
              <w:rPr>
                <w:rFonts w:hint="eastAsia"/>
                <w:b/>
                <w:bCs/>
                <w:color w:val="auto"/>
                <w:sz w:val="24"/>
                <w:szCs w:val="24"/>
                <w:u w:val="single"/>
              </w:rPr>
              <w:t>（4）危险废物泄漏处置措施</w:t>
            </w:r>
          </w:p>
          <w:p>
            <w:pPr>
              <w:adjustRightInd w:val="0"/>
              <w:snapToGrid w:val="0"/>
              <w:spacing w:line="360" w:lineRule="auto"/>
              <w:ind w:firstLine="480" w:firstLineChars="200"/>
              <w:rPr>
                <w:color w:val="auto"/>
                <w:sz w:val="24"/>
                <w:szCs w:val="24"/>
                <w:u w:val="single"/>
              </w:rPr>
            </w:pPr>
            <w:r>
              <w:rPr>
                <w:rFonts w:hint="eastAsia"/>
                <w:color w:val="auto"/>
                <w:sz w:val="24"/>
                <w:szCs w:val="24"/>
                <w:u w:val="single"/>
              </w:rPr>
              <w:t>本项目危废间内贮存有废铅蓄电池、废油液等危险废物，当发生泄漏事故时，首先蓄电池贮存区围堰或危废间围堰进行液体截流，避免废液流入外环境，然后使用应急备用收集设施对泄漏液体进行收集，备用设施应符合防渗、防腐要求，废液经收集后及时委托有资质单位进行处理，避免发生二次污染。</w:t>
            </w:r>
          </w:p>
          <w:p>
            <w:pPr>
              <w:adjustRightInd w:val="0"/>
              <w:snapToGrid w:val="0"/>
              <w:spacing w:line="360" w:lineRule="auto"/>
              <w:ind w:firstLine="482" w:firstLineChars="200"/>
              <w:rPr>
                <w:b/>
                <w:bCs/>
                <w:color w:val="auto"/>
                <w:sz w:val="24"/>
                <w:szCs w:val="24"/>
                <w:u w:val="single"/>
              </w:rPr>
            </w:pPr>
            <w:r>
              <w:rPr>
                <w:rFonts w:hint="eastAsia"/>
                <w:b/>
                <w:bCs/>
                <w:color w:val="auto"/>
                <w:sz w:val="24"/>
                <w:szCs w:val="24"/>
                <w:u w:val="single"/>
              </w:rPr>
              <w:t>（5）突发环境事件应急预案编制要求</w:t>
            </w:r>
          </w:p>
          <w:p>
            <w:pPr>
              <w:pStyle w:val="2"/>
              <w:spacing w:line="360" w:lineRule="auto"/>
              <w:rPr>
                <w:color w:val="auto"/>
                <w:sz w:val="24"/>
                <w:szCs w:val="24"/>
                <w:u w:val="single"/>
              </w:rPr>
            </w:pPr>
            <w:r>
              <w:rPr>
                <w:rFonts w:hint="eastAsia"/>
                <w:color w:val="auto"/>
                <w:sz w:val="24"/>
                <w:szCs w:val="24"/>
                <w:u w:val="single"/>
              </w:rPr>
              <w:t>企业应建立健全风险应急机制，同时依据《关于进一步加强环境影响评价管理防范环境风险的通知》（环发[2012]77号）的要求，企业应按照《突发环境事件应急预案管理暂行办法》（环发[2010]113号）、《企业事业单位突发环境事件应急预案备案管理办法（试行）》（环发）[2015]4号）等相关</w:t>
            </w:r>
            <w:r>
              <w:rPr>
                <w:rFonts w:hint="eastAsia" w:eastAsiaTheme="minorEastAsia"/>
                <w:color w:val="auto"/>
                <w:spacing w:val="-6"/>
                <w:sz w:val="24"/>
                <w:szCs w:val="24"/>
                <w:u w:val="single"/>
              </w:rPr>
              <w:t>规定编制环境应急预案，并与当地环保部门联动，提高企业环境风险防控能力</w:t>
            </w:r>
            <w:r>
              <w:rPr>
                <w:rFonts w:hint="eastAsia"/>
                <w:color w:val="auto"/>
                <w:sz w:val="24"/>
                <w:szCs w:val="24"/>
                <w:u w:val="single"/>
              </w:rPr>
              <w:t>。</w:t>
            </w:r>
          </w:p>
          <w:p>
            <w:pPr>
              <w:autoSpaceDE w:val="0"/>
              <w:autoSpaceDN w:val="0"/>
              <w:adjustRightInd w:val="0"/>
              <w:snapToGrid w:val="0"/>
              <w:spacing w:line="460" w:lineRule="exact"/>
              <w:ind w:firstLine="480" w:firstLineChars="200"/>
              <w:jc w:val="left"/>
              <w:rPr>
                <w:u w:val="single"/>
              </w:rPr>
            </w:pPr>
            <w:r>
              <w:rPr>
                <w:rFonts w:hint="eastAsia"/>
                <w:color w:val="auto"/>
                <w:sz w:val="24"/>
                <w:szCs w:val="24"/>
                <w:u w:val="single"/>
              </w:rPr>
              <w:t>根据《突发环境事件应急预案管理暂行办法》（环发[2010]113号），企业需编制全厂应急预案，应当在本单位主要负责人签署实施之日起30日内报所在地环境保护主管部门备案。</w:t>
            </w:r>
          </w:p>
          <w:p>
            <w:pPr>
              <w:autoSpaceDE w:val="0"/>
              <w:autoSpaceDN w:val="0"/>
              <w:adjustRightInd w:val="0"/>
              <w:snapToGrid w:val="0"/>
              <w:spacing w:line="460" w:lineRule="exact"/>
              <w:ind w:firstLine="480" w:firstLineChars="200"/>
              <w:jc w:val="left"/>
              <w:rPr>
                <w:rFonts w:hint="eastAsia"/>
                <w:sz w:val="24"/>
                <w:szCs w:val="24"/>
                <w:u w:val="single"/>
              </w:rPr>
            </w:pPr>
            <w:r>
              <w:rPr>
                <w:rFonts w:hint="eastAsia"/>
                <w:sz w:val="24"/>
                <w:szCs w:val="24"/>
                <w:u w:val="single"/>
              </w:rPr>
              <w:t xml:space="preserve"> 应急预案应包括以下内容：</w:t>
            </w:r>
          </w:p>
          <w:p>
            <w:pPr>
              <w:autoSpaceDE w:val="0"/>
              <w:autoSpaceDN w:val="0"/>
              <w:adjustRightInd w:val="0"/>
              <w:snapToGrid w:val="0"/>
              <w:spacing w:line="460" w:lineRule="exact"/>
              <w:jc w:val="center"/>
              <w:rPr>
                <w:b/>
                <w:bCs/>
                <w:sz w:val="24"/>
                <w:szCs w:val="24"/>
              </w:rPr>
            </w:pPr>
            <w:r>
              <w:rPr>
                <w:rFonts w:hint="eastAsia"/>
                <w:b/>
                <w:bCs/>
                <w:sz w:val="24"/>
                <w:szCs w:val="24"/>
                <w:u w:val="single"/>
              </w:rPr>
              <w:t>表</w:t>
            </w:r>
            <w:r>
              <w:rPr>
                <w:rFonts w:hint="eastAsia"/>
                <w:b/>
                <w:bCs/>
                <w:sz w:val="24"/>
                <w:szCs w:val="24"/>
                <w:u w:val="single"/>
                <w:lang w:val="en-US" w:eastAsia="zh-CN"/>
              </w:rPr>
              <w:t>5</w:t>
            </w:r>
            <w:r>
              <w:rPr>
                <w:rFonts w:hint="eastAsia"/>
                <w:b/>
                <w:bCs/>
                <w:sz w:val="24"/>
                <w:szCs w:val="24"/>
                <w:u w:val="single"/>
              </w:rPr>
              <w:t>6  环境风险突发事故应急预案编制要求</w:t>
            </w:r>
          </w:p>
          <w:tbl>
            <w:tblPr>
              <w:tblStyle w:val="25"/>
              <w:tblW w:w="79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58"/>
              <w:gridCol w:w="1408"/>
              <w:gridCol w:w="5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tcPr>
                <w:p>
                  <w:pPr>
                    <w:pStyle w:val="36"/>
                    <w:overflowPunct w:val="0"/>
                    <w:jc w:val="center"/>
                    <w:rPr>
                      <w:b/>
                      <w:bCs/>
                      <w:sz w:val="21"/>
                      <w:szCs w:val="21"/>
                      <w:u w:val="single"/>
                    </w:rPr>
                  </w:pPr>
                  <w:r>
                    <w:rPr>
                      <w:rFonts w:hint="eastAsia"/>
                      <w:b/>
                      <w:bCs/>
                      <w:sz w:val="21"/>
                      <w:szCs w:val="21"/>
                      <w:u w:val="single"/>
                    </w:rPr>
                    <w:t>序号</w:t>
                  </w:r>
                </w:p>
              </w:tc>
              <w:tc>
                <w:tcPr>
                  <w:tcW w:w="1408" w:type="dxa"/>
                  <w:noWrap/>
                </w:tcPr>
                <w:p>
                  <w:pPr>
                    <w:pStyle w:val="36"/>
                    <w:overflowPunct w:val="0"/>
                    <w:jc w:val="center"/>
                    <w:rPr>
                      <w:b/>
                      <w:bCs/>
                      <w:sz w:val="21"/>
                      <w:szCs w:val="21"/>
                      <w:u w:val="single"/>
                    </w:rPr>
                  </w:pPr>
                  <w:r>
                    <w:rPr>
                      <w:rFonts w:hint="eastAsia"/>
                      <w:b/>
                      <w:bCs/>
                      <w:sz w:val="21"/>
                      <w:szCs w:val="21"/>
                      <w:u w:val="single"/>
                    </w:rPr>
                    <w:t>项目</w:t>
                  </w:r>
                </w:p>
              </w:tc>
              <w:tc>
                <w:tcPr>
                  <w:tcW w:w="5900" w:type="dxa"/>
                  <w:noWrap/>
                </w:tcPr>
                <w:p>
                  <w:pPr>
                    <w:pStyle w:val="36"/>
                    <w:overflowPunct w:val="0"/>
                    <w:jc w:val="center"/>
                    <w:rPr>
                      <w:b/>
                      <w:bCs/>
                      <w:sz w:val="21"/>
                      <w:szCs w:val="21"/>
                      <w:u w:val="single"/>
                    </w:rPr>
                  </w:pPr>
                  <w:r>
                    <w:rPr>
                      <w:rFonts w:hint="eastAsia"/>
                      <w:b/>
                      <w:bCs/>
                      <w:sz w:val="21"/>
                      <w:szCs w:val="21"/>
                      <w:u w:val="single"/>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1</w:t>
                  </w:r>
                </w:p>
              </w:tc>
              <w:tc>
                <w:tcPr>
                  <w:tcW w:w="1408" w:type="dxa"/>
                  <w:noWrap/>
                  <w:vAlign w:val="center"/>
                </w:tcPr>
                <w:p>
                  <w:pPr>
                    <w:pStyle w:val="36"/>
                    <w:overflowPunct w:val="0"/>
                    <w:jc w:val="center"/>
                    <w:rPr>
                      <w:sz w:val="21"/>
                      <w:szCs w:val="21"/>
                      <w:u w:val="single"/>
                    </w:rPr>
                  </w:pPr>
                  <w:r>
                    <w:rPr>
                      <w:rFonts w:hint="eastAsia"/>
                      <w:sz w:val="21"/>
                      <w:szCs w:val="21"/>
                      <w:u w:val="single"/>
                    </w:rPr>
                    <w:t>危险源情况</w:t>
                  </w:r>
                </w:p>
              </w:tc>
              <w:tc>
                <w:tcPr>
                  <w:tcW w:w="5900" w:type="dxa"/>
                  <w:noWrap/>
                </w:tcPr>
                <w:p>
                  <w:pPr>
                    <w:pStyle w:val="36"/>
                    <w:overflowPunct w:val="0"/>
                    <w:rPr>
                      <w:sz w:val="21"/>
                      <w:szCs w:val="21"/>
                      <w:u w:val="single"/>
                      <w:lang w:eastAsia="zh-CN"/>
                    </w:rPr>
                  </w:pPr>
                  <w:r>
                    <w:rPr>
                      <w:rFonts w:hint="eastAsia"/>
                      <w:sz w:val="21"/>
                      <w:szCs w:val="21"/>
                      <w:u w:val="single"/>
                      <w:lang w:eastAsia="zh-CN"/>
                    </w:rPr>
                    <w:t>详细说明危险源类型、数量、分布及其对环境的风险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2</w:t>
                  </w:r>
                </w:p>
              </w:tc>
              <w:tc>
                <w:tcPr>
                  <w:tcW w:w="1408" w:type="dxa"/>
                  <w:noWrap/>
                  <w:vAlign w:val="center"/>
                </w:tcPr>
                <w:p>
                  <w:pPr>
                    <w:pStyle w:val="36"/>
                    <w:overflowPunct w:val="0"/>
                    <w:jc w:val="center"/>
                    <w:rPr>
                      <w:sz w:val="21"/>
                      <w:szCs w:val="21"/>
                      <w:u w:val="single"/>
                    </w:rPr>
                  </w:pPr>
                  <w:r>
                    <w:rPr>
                      <w:rFonts w:hint="eastAsia"/>
                      <w:sz w:val="21"/>
                      <w:szCs w:val="21"/>
                      <w:u w:val="single"/>
                    </w:rPr>
                    <w:t>应急计划区</w:t>
                  </w:r>
                </w:p>
              </w:tc>
              <w:tc>
                <w:tcPr>
                  <w:tcW w:w="5900" w:type="dxa"/>
                  <w:noWrap/>
                </w:tcPr>
                <w:p>
                  <w:pPr>
                    <w:pStyle w:val="36"/>
                    <w:overflowPunct w:val="0"/>
                    <w:rPr>
                      <w:sz w:val="21"/>
                      <w:szCs w:val="21"/>
                      <w:u w:val="single"/>
                      <w:lang w:eastAsia="zh-CN"/>
                    </w:rPr>
                  </w:pPr>
                  <w:r>
                    <w:rPr>
                      <w:rFonts w:hint="eastAsia"/>
                      <w:sz w:val="21"/>
                      <w:szCs w:val="21"/>
                      <w:u w:val="single"/>
                      <w:lang w:eastAsia="zh-CN"/>
                    </w:rPr>
                    <w:t>拆解车间、危险废物暂存区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3</w:t>
                  </w:r>
                </w:p>
              </w:tc>
              <w:tc>
                <w:tcPr>
                  <w:tcW w:w="1408" w:type="dxa"/>
                  <w:noWrap/>
                  <w:vAlign w:val="center"/>
                </w:tcPr>
                <w:p>
                  <w:pPr>
                    <w:pStyle w:val="36"/>
                    <w:overflowPunct w:val="0"/>
                    <w:jc w:val="center"/>
                    <w:rPr>
                      <w:sz w:val="21"/>
                      <w:szCs w:val="21"/>
                      <w:u w:val="single"/>
                    </w:rPr>
                  </w:pPr>
                  <w:r>
                    <w:rPr>
                      <w:rFonts w:hint="eastAsia"/>
                      <w:sz w:val="21"/>
                      <w:szCs w:val="21"/>
                      <w:u w:val="single"/>
                    </w:rPr>
                    <w:t>应急组织机构、人员</w:t>
                  </w:r>
                </w:p>
              </w:tc>
              <w:tc>
                <w:tcPr>
                  <w:tcW w:w="5900" w:type="dxa"/>
                  <w:noWrap/>
                </w:tcPr>
                <w:p>
                  <w:pPr>
                    <w:pStyle w:val="36"/>
                    <w:overflowPunct w:val="0"/>
                    <w:rPr>
                      <w:sz w:val="21"/>
                      <w:szCs w:val="21"/>
                      <w:u w:val="single"/>
                      <w:lang w:eastAsia="zh-CN"/>
                    </w:rPr>
                  </w:pPr>
                  <w:r>
                    <w:rPr>
                      <w:rFonts w:hint="eastAsia"/>
                      <w:sz w:val="21"/>
                      <w:szCs w:val="21"/>
                      <w:u w:val="single"/>
                      <w:lang w:eastAsia="zh-CN"/>
                    </w:rPr>
                    <w:t>企业：成立公司应急指挥小组，由公司最高领导层担任小组长，</w:t>
                  </w:r>
                  <w:r>
                    <w:rPr>
                      <w:rFonts w:hint="eastAsia"/>
                      <w:spacing w:val="-6"/>
                      <w:sz w:val="21"/>
                      <w:szCs w:val="21"/>
                      <w:u w:val="single"/>
                      <w:lang w:eastAsia="zh-CN"/>
                    </w:rPr>
                    <w:t>负责现场全面指挥，专业救援队伍负责事故控制、救援和善后处理</w:t>
                  </w:r>
                  <w:r>
                    <w:rPr>
                      <w:rFonts w:hint="eastAsia"/>
                      <w:sz w:val="21"/>
                      <w:szCs w:val="21"/>
                      <w:u w:val="single"/>
                      <w:lang w:eastAsia="zh-CN"/>
                    </w:rPr>
                    <w:t>。</w:t>
                  </w:r>
                </w:p>
                <w:p>
                  <w:pPr>
                    <w:pStyle w:val="36"/>
                    <w:overflowPunct w:val="0"/>
                    <w:rPr>
                      <w:rFonts w:hint="eastAsia" w:eastAsia="宋体"/>
                      <w:sz w:val="21"/>
                      <w:szCs w:val="21"/>
                      <w:u w:val="single"/>
                      <w:lang w:val="en-US" w:eastAsia="zh-CN"/>
                    </w:rPr>
                  </w:pPr>
                  <w:r>
                    <w:rPr>
                      <w:rFonts w:hint="eastAsia"/>
                      <w:sz w:val="21"/>
                      <w:szCs w:val="21"/>
                      <w:u w:val="single"/>
                      <w:lang w:eastAsia="zh-CN"/>
                    </w:rPr>
                    <w:t>临近地区：地区指挥部—负责企业附近地区全面指挥，救援，管制和疏散。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4</w:t>
                  </w:r>
                </w:p>
              </w:tc>
              <w:tc>
                <w:tcPr>
                  <w:tcW w:w="1408" w:type="dxa"/>
                  <w:noWrap/>
                  <w:vAlign w:val="center"/>
                </w:tcPr>
                <w:p>
                  <w:pPr>
                    <w:pStyle w:val="36"/>
                    <w:overflowPunct w:val="0"/>
                    <w:jc w:val="center"/>
                    <w:rPr>
                      <w:sz w:val="21"/>
                      <w:szCs w:val="21"/>
                      <w:u w:val="single"/>
                    </w:rPr>
                  </w:pPr>
                  <w:r>
                    <w:rPr>
                      <w:rFonts w:hint="eastAsia"/>
                      <w:sz w:val="21"/>
                      <w:szCs w:val="21"/>
                      <w:u w:val="single"/>
                    </w:rPr>
                    <w:t>预案分级</w:t>
                  </w:r>
                </w:p>
                <w:p>
                  <w:pPr>
                    <w:pStyle w:val="36"/>
                    <w:overflowPunct w:val="0"/>
                    <w:jc w:val="center"/>
                    <w:rPr>
                      <w:sz w:val="21"/>
                      <w:szCs w:val="21"/>
                      <w:u w:val="single"/>
                    </w:rPr>
                  </w:pPr>
                  <w:r>
                    <w:rPr>
                      <w:rFonts w:hint="eastAsia"/>
                      <w:sz w:val="21"/>
                      <w:szCs w:val="21"/>
                      <w:u w:val="single"/>
                    </w:rPr>
                    <w:t>响应条件</w:t>
                  </w:r>
                </w:p>
              </w:tc>
              <w:tc>
                <w:tcPr>
                  <w:tcW w:w="5900" w:type="dxa"/>
                  <w:noWrap/>
                </w:tcPr>
                <w:p>
                  <w:pPr>
                    <w:pStyle w:val="36"/>
                    <w:overflowPunct w:val="0"/>
                    <w:rPr>
                      <w:sz w:val="21"/>
                      <w:szCs w:val="21"/>
                      <w:u w:val="single"/>
                      <w:lang w:eastAsia="zh-CN"/>
                    </w:rPr>
                  </w:pPr>
                  <w:r>
                    <w:rPr>
                      <w:rFonts w:hint="eastAsia"/>
                      <w:sz w:val="21"/>
                      <w:szCs w:val="21"/>
                      <w:u w:val="single"/>
                      <w:lang w:eastAsia="zh-CN"/>
                    </w:rPr>
                    <w:t>规定环境风险事故的级别及相应的应急状态分类，以此制定相应的应急响应程序。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5</w:t>
                  </w:r>
                </w:p>
              </w:tc>
              <w:tc>
                <w:tcPr>
                  <w:tcW w:w="1408" w:type="dxa"/>
                  <w:noWrap/>
                  <w:vAlign w:val="center"/>
                </w:tcPr>
                <w:p>
                  <w:pPr>
                    <w:pStyle w:val="36"/>
                    <w:overflowPunct w:val="0"/>
                    <w:jc w:val="center"/>
                    <w:rPr>
                      <w:sz w:val="21"/>
                      <w:szCs w:val="21"/>
                      <w:u w:val="single"/>
                    </w:rPr>
                  </w:pPr>
                  <w:r>
                    <w:rPr>
                      <w:rFonts w:hint="eastAsia"/>
                      <w:sz w:val="21"/>
                      <w:szCs w:val="21"/>
                      <w:u w:val="single"/>
                    </w:rPr>
                    <w:t>应急救援保障</w:t>
                  </w:r>
                </w:p>
              </w:tc>
              <w:tc>
                <w:tcPr>
                  <w:tcW w:w="5900" w:type="dxa"/>
                  <w:noWrap/>
                </w:tcPr>
                <w:p>
                  <w:pPr>
                    <w:pStyle w:val="36"/>
                    <w:overflowPunct w:val="0"/>
                    <w:rPr>
                      <w:sz w:val="21"/>
                      <w:szCs w:val="21"/>
                      <w:u w:val="single"/>
                      <w:lang w:eastAsia="zh-CN"/>
                    </w:rPr>
                  </w:pPr>
                  <w:r>
                    <w:rPr>
                      <w:rFonts w:hint="eastAsia"/>
                      <w:sz w:val="21"/>
                      <w:szCs w:val="21"/>
                      <w:u w:val="single"/>
                      <w:lang w:eastAsia="zh-CN"/>
                    </w:rPr>
                    <w:t>生产装置和危险废物暂存区：防火灾、爆炸事故的应急设施、设备与材料，主要为消防器材、消防服等；防有毒有害物质外溢、扩散；中毒人员急救所用的一些药品、器材；化工生产原料贮场应设置事故应急池，以防液体化工原料的进一步扩散；配备必要的防毒面具。</w:t>
                  </w:r>
                </w:p>
                <w:p>
                  <w:pPr>
                    <w:pStyle w:val="36"/>
                    <w:overflowPunct w:val="0"/>
                    <w:rPr>
                      <w:sz w:val="21"/>
                      <w:szCs w:val="21"/>
                      <w:u w:val="single"/>
                      <w:lang w:eastAsia="zh-CN"/>
                    </w:rPr>
                  </w:pPr>
                  <w:r>
                    <w:rPr>
                      <w:rFonts w:hint="eastAsia"/>
                      <w:sz w:val="21"/>
                      <w:szCs w:val="21"/>
                      <w:u w:val="single"/>
                      <w:lang w:eastAsia="zh-CN"/>
                    </w:rPr>
                    <w:t>临界地区：烧伤、中毒人员急救所用的一些药品、器材。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6</w:t>
                  </w:r>
                </w:p>
              </w:tc>
              <w:tc>
                <w:tcPr>
                  <w:tcW w:w="1408" w:type="dxa"/>
                  <w:noWrap/>
                  <w:vAlign w:val="center"/>
                </w:tcPr>
                <w:p>
                  <w:pPr>
                    <w:pStyle w:val="36"/>
                    <w:overflowPunct w:val="0"/>
                    <w:jc w:val="center"/>
                    <w:rPr>
                      <w:sz w:val="21"/>
                      <w:szCs w:val="21"/>
                      <w:u w:val="single"/>
                    </w:rPr>
                  </w:pPr>
                  <w:r>
                    <w:rPr>
                      <w:rFonts w:hint="eastAsia"/>
                      <w:sz w:val="21"/>
                      <w:szCs w:val="21"/>
                      <w:u w:val="single"/>
                    </w:rPr>
                    <w:t>报警通讯</w:t>
                  </w:r>
                </w:p>
                <w:p>
                  <w:pPr>
                    <w:pStyle w:val="36"/>
                    <w:overflowPunct w:val="0"/>
                    <w:jc w:val="center"/>
                    <w:rPr>
                      <w:sz w:val="21"/>
                      <w:szCs w:val="21"/>
                      <w:u w:val="single"/>
                    </w:rPr>
                  </w:pPr>
                  <w:r>
                    <w:rPr>
                      <w:rFonts w:hint="eastAsia"/>
                      <w:sz w:val="21"/>
                      <w:szCs w:val="21"/>
                      <w:u w:val="single"/>
                    </w:rPr>
                    <w:t>联络方式</w:t>
                  </w:r>
                </w:p>
              </w:tc>
              <w:tc>
                <w:tcPr>
                  <w:tcW w:w="5900" w:type="dxa"/>
                  <w:noWrap/>
                </w:tcPr>
                <w:p>
                  <w:pPr>
                    <w:pStyle w:val="36"/>
                    <w:overflowPunct w:val="0"/>
                    <w:rPr>
                      <w:sz w:val="21"/>
                      <w:szCs w:val="21"/>
                      <w:u w:val="single"/>
                      <w:lang w:eastAsia="zh-CN"/>
                    </w:rPr>
                  </w:pPr>
                  <w:r>
                    <w:rPr>
                      <w:rFonts w:hint="eastAsia"/>
                      <w:sz w:val="21"/>
                      <w:szCs w:val="21"/>
                      <w:u w:val="single"/>
                      <w:lang w:eastAsia="zh-CN"/>
                    </w:rPr>
                    <w:t>规定应急状态下的通讯、通告方式和交通保障、管理等事项。可充分利用现代化的通信设施，如手机、固定电话、广播、电视等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7</w:t>
                  </w:r>
                </w:p>
              </w:tc>
              <w:tc>
                <w:tcPr>
                  <w:tcW w:w="1408" w:type="dxa"/>
                  <w:noWrap/>
                  <w:vAlign w:val="center"/>
                </w:tcPr>
                <w:p>
                  <w:pPr>
                    <w:pStyle w:val="36"/>
                    <w:overflowPunct w:val="0"/>
                    <w:jc w:val="center"/>
                    <w:rPr>
                      <w:sz w:val="21"/>
                      <w:szCs w:val="21"/>
                      <w:u w:val="single"/>
                      <w:lang w:eastAsia="zh-CN"/>
                    </w:rPr>
                  </w:pPr>
                  <w:r>
                    <w:rPr>
                      <w:rFonts w:hint="eastAsia"/>
                      <w:sz w:val="21"/>
                      <w:szCs w:val="21"/>
                      <w:u w:val="single"/>
                      <w:lang w:eastAsia="zh-CN"/>
                    </w:rPr>
                    <w:t>应急环境监测及事故后评价</w:t>
                  </w:r>
                </w:p>
              </w:tc>
              <w:tc>
                <w:tcPr>
                  <w:tcW w:w="5900" w:type="dxa"/>
                  <w:noWrap/>
                </w:tcPr>
                <w:p>
                  <w:pPr>
                    <w:pStyle w:val="36"/>
                    <w:overflowPunct w:val="0"/>
                    <w:rPr>
                      <w:sz w:val="21"/>
                      <w:szCs w:val="21"/>
                      <w:u w:val="single"/>
                      <w:lang w:eastAsia="zh-CN"/>
                    </w:rPr>
                  </w:pPr>
                  <w:r>
                    <w:rPr>
                      <w:rFonts w:hint="eastAsia"/>
                      <w:sz w:val="21"/>
                      <w:szCs w:val="21"/>
                      <w:u w:val="single"/>
                      <w:lang w:eastAsia="zh-CN"/>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8</w:t>
                  </w:r>
                </w:p>
              </w:tc>
              <w:tc>
                <w:tcPr>
                  <w:tcW w:w="1408" w:type="dxa"/>
                  <w:noWrap/>
                  <w:vAlign w:val="center"/>
                </w:tcPr>
                <w:p>
                  <w:pPr>
                    <w:pStyle w:val="36"/>
                    <w:overflowPunct w:val="0"/>
                    <w:jc w:val="center"/>
                    <w:rPr>
                      <w:sz w:val="21"/>
                      <w:szCs w:val="21"/>
                      <w:u w:val="single"/>
                      <w:lang w:eastAsia="zh-CN"/>
                    </w:rPr>
                  </w:pPr>
                  <w:r>
                    <w:rPr>
                      <w:rFonts w:hint="eastAsia"/>
                      <w:sz w:val="21"/>
                      <w:szCs w:val="21"/>
                      <w:u w:val="single"/>
                      <w:lang w:eastAsia="zh-CN"/>
                    </w:rPr>
                    <w:t>应急防护措施消除泄漏措施及需使用器材</w:t>
                  </w:r>
                </w:p>
              </w:tc>
              <w:tc>
                <w:tcPr>
                  <w:tcW w:w="5900" w:type="dxa"/>
                  <w:noWrap/>
                </w:tcPr>
                <w:p>
                  <w:pPr>
                    <w:pStyle w:val="36"/>
                    <w:overflowPunct w:val="0"/>
                    <w:rPr>
                      <w:sz w:val="21"/>
                      <w:szCs w:val="21"/>
                      <w:u w:val="single"/>
                      <w:lang w:eastAsia="zh-CN"/>
                    </w:rPr>
                  </w:pPr>
                  <w:r>
                    <w:rPr>
                      <w:rFonts w:hint="eastAsia"/>
                      <w:sz w:val="21"/>
                      <w:szCs w:val="21"/>
                      <w:u w:val="single"/>
                      <w:lang w:eastAsia="zh-CN"/>
                    </w:rPr>
                    <w:t>事故现场：控制事故发展，防止扩大、蔓延及连锁反应；清除现场泄泥物，降低危害；相应的设施器材配备；</w:t>
                  </w:r>
                </w:p>
                <w:p>
                  <w:pPr>
                    <w:pStyle w:val="36"/>
                    <w:overflowPunct w:val="0"/>
                    <w:rPr>
                      <w:sz w:val="21"/>
                      <w:szCs w:val="21"/>
                      <w:u w:val="single"/>
                      <w:lang w:eastAsia="zh-CN"/>
                    </w:rPr>
                  </w:pPr>
                  <w:r>
                    <w:rPr>
                      <w:rFonts w:hint="eastAsia"/>
                      <w:sz w:val="21"/>
                      <w:szCs w:val="21"/>
                      <w:u w:val="single"/>
                      <w:lang w:eastAsia="zh-CN"/>
                    </w:rPr>
                    <w:t>临近地区：控制防火区域，控制和消除环境污染的措施及相应的设备配备。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9</w:t>
                  </w:r>
                </w:p>
              </w:tc>
              <w:tc>
                <w:tcPr>
                  <w:tcW w:w="1408" w:type="dxa"/>
                  <w:noWrap/>
                  <w:vAlign w:val="center"/>
                </w:tcPr>
                <w:p>
                  <w:pPr>
                    <w:pStyle w:val="36"/>
                    <w:overflowPunct w:val="0"/>
                    <w:jc w:val="center"/>
                    <w:rPr>
                      <w:sz w:val="21"/>
                      <w:szCs w:val="21"/>
                      <w:u w:val="single"/>
                      <w:lang w:eastAsia="zh-CN"/>
                    </w:rPr>
                  </w:pPr>
                  <w:r>
                    <w:rPr>
                      <w:rFonts w:hint="eastAsia"/>
                      <w:sz w:val="21"/>
                      <w:szCs w:val="21"/>
                      <w:u w:val="single"/>
                      <w:lang w:eastAsia="zh-CN"/>
                    </w:rPr>
                    <w:t>应急剂量控制撤离组织计划医疗救护与保护公众健康</w:t>
                  </w:r>
                </w:p>
              </w:tc>
              <w:tc>
                <w:tcPr>
                  <w:tcW w:w="5900" w:type="dxa"/>
                  <w:noWrap/>
                </w:tcPr>
                <w:p>
                  <w:pPr>
                    <w:pStyle w:val="36"/>
                    <w:overflowPunct w:val="0"/>
                    <w:rPr>
                      <w:sz w:val="21"/>
                      <w:szCs w:val="21"/>
                      <w:u w:val="single"/>
                      <w:lang w:eastAsia="zh-CN"/>
                    </w:rPr>
                  </w:pPr>
                  <w:r>
                    <w:rPr>
                      <w:rFonts w:hint="eastAsia"/>
                      <w:sz w:val="21"/>
                      <w:szCs w:val="21"/>
                      <w:u w:val="single"/>
                      <w:lang w:eastAsia="zh-CN"/>
                    </w:rPr>
                    <w:t>事故现场：事故处理人员制定毒物的应急剂量、现场及临近装置人员的撤离组织计划和紧急救护方案；</w:t>
                  </w:r>
                </w:p>
                <w:p>
                  <w:pPr>
                    <w:pStyle w:val="36"/>
                    <w:overflowPunct w:val="0"/>
                    <w:rPr>
                      <w:sz w:val="21"/>
                      <w:szCs w:val="21"/>
                      <w:u w:val="single"/>
                      <w:lang w:eastAsia="zh-CN"/>
                    </w:rPr>
                  </w:pPr>
                  <w:r>
                    <w:rPr>
                      <w:rFonts w:hint="eastAsia"/>
                      <w:sz w:val="21"/>
                      <w:szCs w:val="21"/>
                      <w:u w:val="single"/>
                      <w:lang w:eastAsia="zh-CN"/>
                    </w:rPr>
                    <w:t>临近地区：制定受事故影响的临近地区内人员对毒物的应急剂量、公众的疏散组织计划和紧急救护方案。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10</w:t>
                  </w:r>
                </w:p>
              </w:tc>
              <w:tc>
                <w:tcPr>
                  <w:tcW w:w="1408" w:type="dxa"/>
                  <w:noWrap/>
                  <w:vAlign w:val="center"/>
                </w:tcPr>
                <w:p>
                  <w:pPr>
                    <w:pStyle w:val="36"/>
                    <w:overflowPunct w:val="0"/>
                    <w:jc w:val="center"/>
                    <w:rPr>
                      <w:sz w:val="21"/>
                      <w:szCs w:val="21"/>
                      <w:u w:val="single"/>
                      <w:lang w:eastAsia="zh-CN"/>
                    </w:rPr>
                  </w:pPr>
                  <w:r>
                    <w:rPr>
                      <w:rFonts w:hint="eastAsia"/>
                      <w:sz w:val="21"/>
                      <w:szCs w:val="21"/>
                      <w:u w:val="single"/>
                      <w:lang w:eastAsia="zh-CN"/>
                    </w:rPr>
                    <w:t>应急状态中止恢复措施</w:t>
                  </w:r>
                </w:p>
              </w:tc>
              <w:tc>
                <w:tcPr>
                  <w:tcW w:w="5900" w:type="dxa"/>
                  <w:noWrap/>
                </w:tcPr>
                <w:p>
                  <w:pPr>
                    <w:pStyle w:val="36"/>
                    <w:overflowPunct w:val="0"/>
                    <w:rPr>
                      <w:sz w:val="21"/>
                      <w:szCs w:val="21"/>
                      <w:u w:val="single"/>
                      <w:lang w:eastAsia="zh-CN"/>
                    </w:rPr>
                  </w:pPr>
                  <w:r>
                    <w:rPr>
                      <w:rFonts w:hint="eastAsia"/>
                      <w:sz w:val="21"/>
                      <w:szCs w:val="21"/>
                      <w:u w:val="single"/>
                      <w:lang w:eastAsia="zh-CN"/>
                    </w:rPr>
                    <w:t>事故现场：规定应急状态终止秩序；事故现场善后处理，回复生产措施；</w:t>
                  </w:r>
                </w:p>
                <w:p>
                  <w:pPr>
                    <w:pStyle w:val="36"/>
                    <w:overflowPunct w:val="0"/>
                    <w:rPr>
                      <w:sz w:val="21"/>
                      <w:szCs w:val="21"/>
                      <w:u w:val="single"/>
                      <w:lang w:eastAsia="zh-CN"/>
                    </w:rPr>
                  </w:pPr>
                  <w:r>
                    <w:rPr>
                      <w:rFonts w:hint="eastAsia"/>
                      <w:sz w:val="21"/>
                      <w:szCs w:val="21"/>
                      <w:u w:val="single"/>
                      <w:lang w:eastAsia="zh-CN"/>
                    </w:rPr>
                    <w:t>临近地区：解除事故警戒，公众返回和善后回复措施。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11</w:t>
                  </w:r>
                </w:p>
              </w:tc>
              <w:tc>
                <w:tcPr>
                  <w:tcW w:w="1408" w:type="dxa"/>
                  <w:noWrap/>
                  <w:vAlign w:val="center"/>
                </w:tcPr>
                <w:p>
                  <w:pPr>
                    <w:pStyle w:val="36"/>
                    <w:overflowPunct w:val="0"/>
                    <w:jc w:val="center"/>
                    <w:rPr>
                      <w:sz w:val="21"/>
                      <w:szCs w:val="21"/>
                      <w:u w:val="single"/>
                    </w:rPr>
                  </w:pPr>
                  <w:r>
                    <w:rPr>
                      <w:rFonts w:hint="eastAsia"/>
                      <w:sz w:val="21"/>
                      <w:szCs w:val="21"/>
                      <w:u w:val="single"/>
                    </w:rPr>
                    <w:t>人员培训</w:t>
                  </w:r>
                </w:p>
                <w:p>
                  <w:pPr>
                    <w:pStyle w:val="36"/>
                    <w:overflowPunct w:val="0"/>
                    <w:jc w:val="center"/>
                    <w:rPr>
                      <w:sz w:val="21"/>
                      <w:szCs w:val="21"/>
                      <w:u w:val="single"/>
                    </w:rPr>
                  </w:pPr>
                  <w:r>
                    <w:rPr>
                      <w:rFonts w:hint="eastAsia"/>
                      <w:sz w:val="21"/>
                      <w:szCs w:val="21"/>
                      <w:u w:val="single"/>
                    </w:rPr>
                    <w:t>与演习</w:t>
                  </w:r>
                </w:p>
              </w:tc>
              <w:tc>
                <w:tcPr>
                  <w:tcW w:w="5900" w:type="dxa"/>
                  <w:noWrap/>
                </w:tcPr>
                <w:p>
                  <w:pPr>
                    <w:pStyle w:val="36"/>
                    <w:overflowPunct w:val="0"/>
                    <w:rPr>
                      <w:sz w:val="21"/>
                      <w:szCs w:val="21"/>
                      <w:u w:val="single"/>
                      <w:lang w:eastAsia="zh-CN"/>
                    </w:rPr>
                  </w:pPr>
                  <w:r>
                    <w:rPr>
                      <w:rFonts w:hint="eastAsia"/>
                      <w:sz w:val="21"/>
                      <w:szCs w:val="21"/>
                      <w:u w:val="single"/>
                      <w:lang w:eastAsia="zh-CN"/>
                    </w:rPr>
                    <w:t>应急计划制定后，平时安排事故出路人员进行相关知识培训并进行事故应急处理演习；对工厂工人进行安全卫生教育。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12</w:t>
                  </w:r>
                </w:p>
              </w:tc>
              <w:tc>
                <w:tcPr>
                  <w:tcW w:w="1408" w:type="dxa"/>
                  <w:noWrap/>
                  <w:vAlign w:val="center"/>
                </w:tcPr>
                <w:p>
                  <w:pPr>
                    <w:pStyle w:val="36"/>
                    <w:overflowPunct w:val="0"/>
                    <w:jc w:val="center"/>
                    <w:rPr>
                      <w:sz w:val="21"/>
                      <w:szCs w:val="21"/>
                      <w:u w:val="single"/>
                    </w:rPr>
                  </w:pPr>
                  <w:r>
                    <w:rPr>
                      <w:rFonts w:hint="eastAsia"/>
                      <w:sz w:val="21"/>
                      <w:szCs w:val="21"/>
                      <w:u w:val="single"/>
                    </w:rPr>
                    <w:t>公众教育</w:t>
                  </w:r>
                </w:p>
                <w:p>
                  <w:pPr>
                    <w:pStyle w:val="36"/>
                    <w:overflowPunct w:val="0"/>
                    <w:jc w:val="center"/>
                    <w:rPr>
                      <w:sz w:val="21"/>
                      <w:szCs w:val="21"/>
                      <w:u w:val="single"/>
                    </w:rPr>
                  </w:pPr>
                  <w:r>
                    <w:rPr>
                      <w:rFonts w:hint="eastAsia"/>
                      <w:sz w:val="21"/>
                      <w:szCs w:val="21"/>
                      <w:u w:val="single"/>
                    </w:rPr>
                    <w:t>信息发布</w:t>
                  </w:r>
                </w:p>
              </w:tc>
              <w:tc>
                <w:tcPr>
                  <w:tcW w:w="5900" w:type="dxa"/>
                  <w:noWrap/>
                </w:tcPr>
                <w:p>
                  <w:pPr>
                    <w:pStyle w:val="36"/>
                    <w:overflowPunct w:val="0"/>
                    <w:rPr>
                      <w:sz w:val="21"/>
                      <w:szCs w:val="21"/>
                      <w:u w:val="single"/>
                      <w:lang w:eastAsia="zh-CN"/>
                    </w:rPr>
                  </w:pPr>
                  <w:r>
                    <w:rPr>
                      <w:rFonts w:hint="eastAsia"/>
                      <w:sz w:val="21"/>
                      <w:szCs w:val="21"/>
                      <w:u w:val="single"/>
                      <w:lang w:eastAsia="zh-CN"/>
                    </w:rPr>
                    <w:t>对工厂临近地区公众开展环境风险事故预防教育、应急知识培训并定期发布相关信息。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8" w:type="dxa"/>
                  <w:noWrap/>
                  <w:vAlign w:val="center"/>
                </w:tcPr>
                <w:p>
                  <w:pPr>
                    <w:jc w:val="center"/>
                    <w:rPr>
                      <w:sz w:val="21"/>
                      <w:szCs w:val="21"/>
                      <w:u w:val="single"/>
                    </w:rPr>
                  </w:pPr>
                  <w:r>
                    <w:rPr>
                      <w:rFonts w:hint="eastAsia"/>
                      <w:sz w:val="21"/>
                      <w:szCs w:val="21"/>
                      <w:u w:val="single"/>
                    </w:rPr>
                    <w:t>13</w:t>
                  </w:r>
                </w:p>
              </w:tc>
              <w:tc>
                <w:tcPr>
                  <w:tcW w:w="1408" w:type="dxa"/>
                  <w:noWrap/>
                  <w:vAlign w:val="center"/>
                </w:tcPr>
                <w:p>
                  <w:pPr>
                    <w:pStyle w:val="36"/>
                    <w:overflowPunct w:val="0"/>
                    <w:jc w:val="center"/>
                    <w:rPr>
                      <w:sz w:val="21"/>
                      <w:szCs w:val="21"/>
                      <w:u w:val="single"/>
                    </w:rPr>
                  </w:pPr>
                  <w:r>
                    <w:rPr>
                      <w:rFonts w:hint="eastAsia"/>
                      <w:sz w:val="21"/>
                      <w:szCs w:val="21"/>
                      <w:u w:val="single"/>
                    </w:rPr>
                    <w:t>记录和报告</w:t>
                  </w:r>
                </w:p>
              </w:tc>
              <w:tc>
                <w:tcPr>
                  <w:tcW w:w="5900" w:type="dxa"/>
                  <w:noWrap/>
                </w:tcPr>
                <w:p>
                  <w:pPr>
                    <w:pStyle w:val="36"/>
                    <w:overflowPunct w:val="0"/>
                    <w:rPr>
                      <w:sz w:val="21"/>
                      <w:szCs w:val="21"/>
                      <w:u w:val="single"/>
                      <w:lang w:eastAsia="zh-CN"/>
                    </w:rPr>
                  </w:pPr>
                  <w:r>
                    <w:rPr>
                      <w:rFonts w:hint="eastAsia"/>
                      <w:sz w:val="21"/>
                      <w:szCs w:val="21"/>
                      <w:u w:val="single"/>
                      <w:lang w:eastAsia="zh-CN"/>
                    </w:rPr>
                    <w:t>设应急事故专门记录，建立档案和报告制度，设专门部门负责管理。</w:t>
                  </w:r>
                </w:p>
              </w:tc>
            </w:tr>
          </w:tbl>
          <w:p>
            <w:pPr>
              <w:adjustRightInd w:val="0"/>
              <w:snapToGrid w:val="0"/>
              <w:ind w:firstLine="420" w:firstLineChars="200"/>
              <w:rPr>
                <w:u w:val="single"/>
              </w:rPr>
            </w:pPr>
          </w:p>
          <w:p>
            <w:pPr>
              <w:adjustRightInd w:val="0"/>
              <w:snapToGrid w:val="0"/>
              <w:spacing w:line="360" w:lineRule="auto"/>
              <w:ind w:firstLine="482" w:firstLineChars="200"/>
              <w:rPr>
                <w:b/>
                <w:bCs/>
                <w:sz w:val="24"/>
                <w:szCs w:val="24"/>
                <w:u w:val="single"/>
              </w:rPr>
            </w:pPr>
            <w:r>
              <w:rPr>
                <w:rFonts w:hint="eastAsia"/>
                <w:b/>
                <w:bCs/>
                <w:sz w:val="24"/>
                <w:szCs w:val="24"/>
                <w:u w:val="single"/>
              </w:rPr>
              <w:t>（</w:t>
            </w:r>
            <w:r>
              <w:rPr>
                <w:rFonts w:hint="eastAsia"/>
                <w:b/>
                <w:bCs/>
                <w:sz w:val="24"/>
                <w:szCs w:val="24"/>
                <w:u w:val="single"/>
                <w:lang w:val="en-US" w:eastAsia="zh-CN"/>
              </w:rPr>
              <w:t>6</w:t>
            </w:r>
            <w:r>
              <w:rPr>
                <w:rFonts w:hint="eastAsia"/>
                <w:b/>
                <w:bCs/>
                <w:sz w:val="24"/>
                <w:szCs w:val="24"/>
                <w:u w:val="single"/>
              </w:rPr>
              <w:t>）风险评价结论</w:t>
            </w:r>
          </w:p>
          <w:p>
            <w:pPr>
              <w:adjustRightInd w:val="0"/>
              <w:snapToGrid w:val="0"/>
              <w:spacing w:line="360" w:lineRule="auto"/>
              <w:ind w:firstLine="480" w:firstLineChars="200"/>
              <w:rPr>
                <w:sz w:val="24"/>
                <w:szCs w:val="24"/>
                <w:u w:val="single"/>
              </w:rPr>
            </w:pPr>
            <w:r>
              <w:rPr>
                <w:rFonts w:hint="eastAsia"/>
                <w:sz w:val="24"/>
                <w:szCs w:val="24"/>
                <w:u w:val="single"/>
              </w:rPr>
              <w:t>项目在运营期认真落实并严格执行本报告中关于风险防范等方面的措施，并加强风险管理，杜绝违章操作，完善各类安全设备、设施，建立相应的风险管理制度，采取风险防范措施并指定相应的风险应急预案，严格执行并遵守风险管理制度和安全生产操作规程，可以使本项目的环境风险值大大降低。</w:t>
            </w:r>
          </w:p>
          <w:p>
            <w:pPr>
              <w:adjustRightInd w:val="0"/>
              <w:snapToGrid w:val="0"/>
              <w:spacing w:line="360" w:lineRule="auto"/>
              <w:ind w:firstLine="480" w:firstLineChars="200"/>
              <w:rPr>
                <w:sz w:val="24"/>
                <w:szCs w:val="24"/>
              </w:rPr>
            </w:pPr>
            <w:r>
              <w:rPr>
                <w:rFonts w:hint="eastAsia"/>
                <w:sz w:val="24"/>
                <w:szCs w:val="24"/>
                <w:u w:val="single"/>
              </w:rPr>
              <w:t>因此，本项目运营期从环境风险角度分析具备可行性。</w:t>
            </w:r>
          </w:p>
          <w:p>
            <w:pPr>
              <w:pStyle w:val="12"/>
              <w:snapToGrid w:val="0"/>
              <w:spacing w:line="360" w:lineRule="auto"/>
              <w:ind w:left="0" w:leftChars="0" w:firstLine="482" w:firstLineChars="200"/>
              <w:rPr>
                <w:b/>
                <w:bCs/>
                <w:sz w:val="24"/>
                <w:szCs w:val="24"/>
              </w:rPr>
            </w:pPr>
            <w:r>
              <w:rPr>
                <w:rFonts w:hint="eastAsia"/>
                <w:b/>
                <w:bCs/>
                <w:sz w:val="24"/>
                <w:szCs w:val="24"/>
              </w:rPr>
              <w:t>7、排污许可制度</w:t>
            </w:r>
          </w:p>
          <w:p>
            <w:pPr>
              <w:pStyle w:val="12"/>
              <w:snapToGrid w:val="0"/>
              <w:spacing w:line="360" w:lineRule="auto"/>
              <w:ind w:left="0" w:leftChars="0" w:firstLine="480" w:firstLineChars="200"/>
              <w:rPr>
                <w:sz w:val="24"/>
                <w:szCs w:val="24"/>
              </w:rPr>
            </w:pPr>
            <w:r>
              <w:rPr>
                <w:rFonts w:hint="eastAsia"/>
                <w:sz w:val="24"/>
                <w:szCs w:val="24"/>
              </w:rPr>
              <w:t>根据《排污许可管理条例》（2021.03.01）以及《固定污染源排污许可分类管理名录（2019版）》相关内容，依法规定实行排污许可管理制度，排污单位应依照《排污许可管理条例》（中华人民共和国国务院令 第736号）相关内容申请取得排污许可证。</w:t>
            </w:r>
          </w:p>
          <w:p>
            <w:pPr>
              <w:pStyle w:val="12"/>
              <w:snapToGrid w:val="0"/>
              <w:spacing w:line="360" w:lineRule="auto"/>
              <w:ind w:left="0" w:leftChars="0" w:firstLine="480" w:firstLineChars="200"/>
              <w:rPr>
                <w:rFonts w:hint="eastAsia"/>
                <w:sz w:val="24"/>
                <w:szCs w:val="24"/>
              </w:rPr>
            </w:pPr>
            <w:r>
              <w:rPr>
                <w:rFonts w:hint="eastAsia"/>
                <w:sz w:val="24"/>
                <w:szCs w:val="24"/>
              </w:rPr>
              <w:t>根据《固定污染源排污许可分类管理名录（2019年版）》，确定排污许可证管理分类。企业应在取得环境影响评价批复文件后，产生实际排污行为之前申请取得企业排污许可证，并按照《排污许可证申请与核发技术规范 废弃资源加工工业》（HJ1034-2019）相关内容规范化建立台账管理制度和，按照排污许可证相关内容进行排污许可证执行报告填报工作。</w:t>
            </w:r>
          </w:p>
          <w:p>
            <w:pPr>
              <w:rPr>
                <w:rFonts w:hint="eastAsia" w:eastAsiaTheme="minorEastAsia"/>
                <w:lang w:val="en-US" w:eastAsia="zh-CN"/>
              </w:rPr>
            </w:pPr>
            <w:r>
              <w:rPr>
                <w:rFonts w:hint="eastAsia"/>
                <w:sz w:val="24"/>
                <w:szCs w:val="24"/>
                <w:lang w:val="en-US" w:eastAsia="zh-CN"/>
              </w:rPr>
              <w:t>s</w:t>
            </w:r>
          </w:p>
          <w:p>
            <w:pPr>
              <w:numPr>
                <w:ilvl w:val="0"/>
                <w:numId w:val="8"/>
              </w:numPr>
              <w:adjustRightInd w:val="0"/>
              <w:snapToGrid w:val="0"/>
              <w:spacing w:line="360" w:lineRule="auto"/>
              <w:ind w:firstLine="480"/>
              <w:rPr>
                <w:b/>
                <w:bCs/>
                <w:sz w:val="24"/>
                <w:szCs w:val="24"/>
                <w:u w:val="single"/>
              </w:rPr>
            </w:pPr>
            <w:r>
              <w:rPr>
                <w:rFonts w:hint="eastAsia"/>
                <w:b/>
                <w:bCs/>
                <w:sz w:val="24"/>
                <w:szCs w:val="24"/>
                <w:u w:val="single"/>
              </w:rPr>
              <w:t>环保投资估算</w:t>
            </w:r>
          </w:p>
          <w:p>
            <w:pPr>
              <w:adjustRightInd w:val="0"/>
              <w:snapToGrid w:val="0"/>
              <w:spacing w:line="360" w:lineRule="auto"/>
              <w:ind w:firstLine="480" w:firstLineChars="200"/>
              <w:rPr>
                <w:rFonts w:hint="eastAsia"/>
                <w:sz w:val="24"/>
                <w:szCs w:val="24"/>
                <w:u w:val="single"/>
              </w:rPr>
            </w:pPr>
            <w:r>
              <w:rPr>
                <w:sz w:val="24"/>
                <w:szCs w:val="24"/>
                <w:u w:val="single"/>
              </w:rPr>
              <w:t>为了确保该项目建成后全厂“三废”排放符合国家排放标准和总量控制要求，创造良好的生活环境和工作环境，减轻运营过程中所带来的环境污染，根据本环评提出的运营期环保治理措施和建议，对该项目各项环保设施投资进行估算，本项目总投资</w:t>
            </w:r>
            <w:r>
              <w:rPr>
                <w:rFonts w:hint="eastAsia"/>
                <w:sz w:val="24"/>
                <w:szCs w:val="24"/>
                <w:u w:val="single"/>
                <w:lang w:val="en-US" w:eastAsia="zh-CN"/>
              </w:rPr>
              <w:t>10</w:t>
            </w:r>
            <w:r>
              <w:rPr>
                <w:rFonts w:hint="eastAsia"/>
                <w:sz w:val="24"/>
                <w:szCs w:val="24"/>
                <w:u w:val="single"/>
              </w:rPr>
              <w:t>00</w:t>
            </w:r>
            <w:r>
              <w:rPr>
                <w:sz w:val="24"/>
                <w:szCs w:val="24"/>
                <w:u w:val="single"/>
              </w:rPr>
              <w:t>万元，其中环保投资为</w:t>
            </w:r>
            <w:r>
              <w:rPr>
                <w:rFonts w:hint="eastAsia"/>
                <w:sz w:val="24"/>
                <w:szCs w:val="24"/>
                <w:u w:val="single"/>
              </w:rPr>
              <w:t>5</w:t>
            </w:r>
            <w:r>
              <w:rPr>
                <w:rFonts w:hint="eastAsia"/>
                <w:sz w:val="24"/>
                <w:szCs w:val="24"/>
                <w:u w:val="single"/>
                <w:lang w:val="en-US" w:eastAsia="zh-CN"/>
              </w:rPr>
              <w:t>0</w:t>
            </w:r>
            <w:r>
              <w:rPr>
                <w:sz w:val="24"/>
                <w:szCs w:val="24"/>
                <w:u w:val="single"/>
              </w:rPr>
              <w:t>万元，占总投资的</w:t>
            </w:r>
            <w:r>
              <w:rPr>
                <w:rFonts w:hint="eastAsia"/>
                <w:sz w:val="24"/>
                <w:szCs w:val="24"/>
                <w:u w:val="single"/>
                <w:lang w:val="en-US" w:eastAsia="zh-CN"/>
              </w:rPr>
              <w:t>5</w:t>
            </w:r>
            <w:r>
              <w:rPr>
                <w:sz w:val="24"/>
                <w:szCs w:val="24"/>
                <w:u w:val="single"/>
              </w:rPr>
              <w:t>%。环保投资明细详见</w:t>
            </w:r>
            <w:r>
              <w:rPr>
                <w:rFonts w:hint="eastAsia"/>
                <w:sz w:val="24"/>
                <w:szCs w:val="24"/>
                <w:u w:val="single"/>
              </w:rPr>
              <w:t>下表。</w:t>
            </w:r>
          </w:p>
          <w:p>
            <w:pPr>
              <w:adjustRightInd w:val="0"/>
              <w:snapToGrid w:val="0"/>
              <w:spacing w:line="360" w:lineRule="auto"/>
              <w:jc w:val="center"/>
              <w:rPr>
                <w:b/>
                <w:bCs/>
                <w:sz w:val="24"/>
                <w:szCs w:val="24"/>
                <w:u w:val="single"/>
                <w:lang w:val="zh-CN"/>
              </w:rPr>
            </w:pPr>
            <w:r>
              <w:rPr>
                <w:rFonts w:hint="eastAsia"/>
                <w:b/>
                <w:bCs/>
                <w:sz w:val="24"/>
                <w:szCs w:val="24"/>
                <w:u w:val="single"/>
              </w:rPr>
              <w:t>表</w:t>
            </w:r>
            <w:r>
              <w:rPr>
                <w:rFonts w:hint="eastAsia"/>
                <w:b/>
                <w:bCs/>
                <w:sz w:val="24"/>
                <w:szCs w:val="24"/>
                <w:u w:val="single"/>
                <w:lang w:val="en-US" w:eastAsia="zh-CN"/>
              </w:rPr>
              <w:t>57</w:t>
            </w:r>
            <w:r>
              <w:rPr>
                <w:rFonts w:hint="eastAsia"/>
                <w:b/>
                <w:bCs/>
                <w:sz w:val="24"/>
                <w:szCs w:val="24"/>
                <w:u w:val="single"/>
              </w:rPr>
              <w:t xml:space="preserve">  本项目环保投资项目及估算一览表</w:t>
            </w:r>
          </w:p>
          <w:tbl>
            <w:tblPr>
              <w:tblStyle w:val="25"/>
              <w:tblW w:w="78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6"/>
              <w:gridCol w:w="1275"/>
              <w:gridCol w:w="3258"/>
              <w:gridCol w:w="11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noWrap/>
                  <w:vAlign w:val="center"/>
                </w:tcPr>
                <w:p>
                  <w:pPr>
                    <w:jc w:val="center"/>
                    <w:rPr>
                      <w:b/>
                      <w:bCs/>
                      <w:u w:val="single"/>
                    </w:rPr>
                  </w:pPr>
                  <w:r>
                    <w:rPr>
                      <w:b/>
                      <w:bCs/>
                      <w:u w:val="single"/>
                    </w:rPr>
                    <w:t>运行期</w:t>
                  </w:r>
                </w:p>
              </w:tc>
              <w:tc>
                <w:tcPr>
                  <w:tcW w:w="1276" w:type="dxa"/>
                  <w:noWrap/>
                  <w:vAlign w:val="center"/>
                </w:tcPr>
                <w:p>
                  <w:pPr>
                    <w:jc w:val="center"/>
                    <w:rPr>
                      <w:b/>
                      <w:bCs/>
                      <w:u w:val="single"/>
                    </w:rPr>
                  </w:pPr>
                  <w:r>
                    <w:rPr>
                      <w:b/>
                      <w:bCs/>
                      <w:u w:val="single"/>
                    </w:rPr>
                    <w:t>投资项目</w:t>
                  </w:r>
                </w:p>
              </w:tc>
              <w:tc>
                <w:tcPr>
                  <w:tcW w:w="4533" w:type="dxa"/>
                  <w:gridSpan w:val="2"/>
                  <w:noWrap/>
                  <w:vAlign w:val="center"/>
                </w:tcPr>
                <w:p>
                  <w:pPr>
                    <w:jc w:val="center"/>
                    <w:rPr>
                      <w:b/>
                      <w:bCs/>
                      <w:u w:val="single"/>
                    </w:rPr>
                  </w:pPr>
                  <w:r>
                    <w:rPr>
                      <w:b/>
                      <w:bCs/>
                      <w:u w:val="single"/>
                    </w:rPr>
                    <w:t>拟采取的防治措施</w:t>
                  </w:r>
                </w:p>
              </w:tc>
              <w:tc>
                <w:tcPr>
                  <w:tcW w:w="1113" w:type="dxa"/>
                  <w:noWrap/>
                  <w:vAlign w:val="center"/>
                </w:tcPr>
                <w:p>
                  <w:pPr>
                    <w:jc w:val="center"/>
                    <w:rPr>
                      <w:b/>
                      <w:bCs/>
                      <w:u w:val="single"/>
                    </w:rPr>
                  </w:pPr>
                  <w:r>
                    <w:rPr>
                      <w:b/>
                      <w:bCs/>
                      <w:u w:val="single"/>
                    </w:rPr>
                    <w:t>金额（万元）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4" w:hRule="atLeast"/>
              </w:trPr>
              <w:tc>
                <w:tcPr>
                  <w:tcW w:w="884" w:type="dxa"/>
                  <w:vMerge w:val="restart"/>
                  <w:noWrap/>
                  <w:vAlign w:val="center"/>
                </w:tcPr>
                <w:p>
                  <w:pPr>
                    <w:jc w:val="center"/>
                    <w:rPr>
                      <w:u w:val="single"/>
                    </w:rPr>
                  </w:pPr>
                  <w:r>
                    <w:rPr>
                      <w:u w:val="single"/>
                    </w:rPr>
                    <w:t>施工期</w:t>
                  </w:r>
                </w:p>
              </w:tc>
              <w:tc>
                <w:tcPr>
                  <w:tcW w:w="1276" w:type="dxa"/>
                  <w:noWrap/>
                  <w:vAlign w:val="center"/>
                </w:tcPr>
                <w:p>
                  <w:pPr>
                    <w:jc w:val="center"/>
                    <w:rPr>
                      <w:u w:val="single"/>
                    </w:rPr>
                  </w:pPr>
                  <w:r>
                    <w:rPr>
                      <w:u w:val="single"/>
                    </w:rPr>
                    <w:t>废气</w:t>
                  </w:r>
                </w:p>
              </w:tc>
              <w:tc>
                <w:tcPr>
                  <w:tcW w:w="4533" w:type="dxa"/>
                  <w:gridSpan w:val="2"/>
                  <w:noWrap/>
                  <w:vAlign w:val="center"/>
                </w:tcPr>
                <w:p>
                  <w:pPr>
                    <w:jc w:val="center"/>
                    <w:rPr>
                      <w:u w:val="single"/>
                    </w:rPr>
                  </w:pPr>
                  <w:r>
                    <w:rPr>
                      <w:rFonts w:hint="eastAsia"/>
                      <w:u w:val="single"/>
                    </w:rPr>
                    <w:t>洒水降尘，物料加盖苫布、施工围挡等</w:t>
                  </w:r>
                </w:p>
              </w:tc>
              <w:tc>
                <w:tcPr>
                  <w:tcW w:w="1113" w:type="dxa"/>
                  <w:noWrap/>
                  <w:vAlign w:val="center"/>
                </w:tcPr>
                <w:p>
                  <w:pPr>
                    <w:jc w:val="center"/>
                    <w:rPr>
                      <w:u w:val="single"/>
                    </w:rPr>
                  </w:pPr>
                  <w:r>
                    <w:rPr>
                      <w:rFonts w:hint="eastAsia"/>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noWrap/>
                  <w:vAlign w:val="center"/>
                </w:tcPr>
                <w:p>
                  <w:pPr>
                    <w:jc w:val="center"/>
                    <w:rPr>
                      <w:u w:val="single"/>
                    </w:rPr>
                  </w:pPr>
                  <w:r>
                    <w:rPr>
                      <w:u w:val="single"/>
                    </w:rPr>
                    <w:t>噪声</w:t>
                  </w:r>
                </w:p>
              </w:tc>
              <w:tc>
                <w:tcPr>
                  <w:tcW w:w="4533" w:type="dxa"/>
                  <w:gridSpan w:val="2"/>
                  <w:noWrap/>
                  <w:vAlign w:val="center"/>
                </w:tcPr>
                <w:p>
                  <w:pPr>
                    <w:jc w:val="center"/>
                    <w:rPr>
                      <w:u w:val="single"/>
                    </w:rPr>
                  </w:pPr>
                  <w:r>
                    <w:rPr>
                      <w:rFonts w:hint="eastAsia"/>
                      <w:u w:val="single"/>
                    </w:rPr>
                    <w:t>噪声设备维护等</w:t>
                  </w:r>
                </w:p>
              </w:tc>
              <w:tc>
                <w:tcPr>
                  <w:tcW w:w="1113" w:type="dxa"/>
                  <w:noWrap/>
                  <w:vAlign w:val="center"/>
                </w:tcPr>
                <w:p>
                  <w:pPr>
                    <w:jc w:val="center"/>
                    <w:rPr>
                      <w:u w:val="single"/>
                    </w:rPr>
                  </w:pPr>
                  <w:r>
                    <w:rPr>
                      <w:rFonts w:hint="eastAsia"/>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noWrap/>
                  <w:vAlign w:val="center"/>
                </w:tcPr>
                <w:p>
                  <w:pPr>
                    <w:jc w:val="center"/>
                    <w:rPr>
                      <w:u w:val="single"/>
                    </w:rPr>
                  </w:pPr>
                  <w:r>
                    <w:rPr>
                      <w:u w:val="single"/>
                    </w:rPr>
                    <w:t>固体废物</w:t>
                  </w:r>
                </w:p>
              </w:tc>
              <w:tc>
                <w:tcPr>
                  <w:tcW w:w="4533" w:type="dxa"/>
                  <w:gridSpan w:val="2"/>
                  <w:noWrap/>
                  <w:vAlign w:val="center"/>
                </w:tcPr>
                <w:p>
                  <w:pPr>
                    <w:jc w:val="center"/>
                    <w:rPr>
                      <w:u w:val="single"/>
                    </w:rPr>
                  </w:pPr>
                  <w:r>
                    <w:rPr>
                      <w:rFonts w:hint="eastAsia"/>
                      <w:u w:val="single"/>
                    </w:rPr>
                    <w:t>物料存储，转运设施</w:t>
                  </w:r>
                </w:p>
              </w:tc>
              <w:tc>
                <w:tcPr>
                  <w:tcW w:w="1113" w:type="dxa"/>
                  <w:noWrap/>
                  <w:vAlign w:val="center"/>
                </w:tcPr>
                <w:p>
                  <w:pPr>
                    <w:jc w:val="center"/>
                    <w:rPr>
                      <w:u w:val="single"/>
                    </w:rPr>
                  </w:pPr>
                  <w:r>
                    <w:rPr>
                      <w:rFonts w:hint="eastAsia"/>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84" w:type="dxa"/>
                  <w:vMerge w:val="restart"/>
                  <w:noWrap/>
                  <w:vAlign w:val="center"/>
                </w:tcPr>
                <w:p>
                  <w:pPr>
                    <w:jc w:val="center"/>
                    <w:rPr>
                      <w:u w:val="single"/>
                    </w:rPr>
                  </w:pPr>
                  <w:r>
                    <w:rPr>
                      <w:u w:val="single"/>
                    </w:rPr>
                    <w:t>运</w:t>
                  </w:r>
                  <w:r>
                    <w:rPr>
                      <w:rFonts w:hint="eastAsia"/>
                      <w:u w:val="single"/>
                    </w:rPr>
                    <w:t>营</w:t>
                  </w:r>
                  <w:r>
                    <w:rPr>
                      <w:u w:val="single"/>
                    </w:rPr>
                    <w:t>期</w:t>
                  </w:r>
                </w:p>
              </w:tc>
              <w:tc>
                <w:tcPr>
                  <w:tcW w:w="1276" w:type="dxa"/>
                  <w:noWrap/>
                  <w:vAlign w:val="center"/>
                </w:tcPr>
                <w:p>
                  <w:pPr>
                    <w:jc w:val="center"/>
                    <w:rPr>
                      <w:u w:val="single"/>
                    </w:rPr>
                  </w:pPr>
                  <w:r>
                    <w:rPr>
                      <w:u w:val="single"/>
                    </w:rPr>
                    <w:t>废水治理</w:t>
                  </w:r>
                </w:p>
              </w:tc>
              <w:tc>
                <w:tcPr>
                  <w:tcW w:w="4533" w:type="dxa"/>
                  <w:gridSpan w:val="2"/>
                  <w:noWrap/>
                  <w:vAlign w:val="center"/>
                </w:tcPr>
                <w:p>
                  <w:pPr>
                    <w:jc w:val="center"/>
                    <w:rPr>
                      <w:u w:val="single"/>
                    </w:rPr>
                  </w:pPr>
                  <w:r>
                    <w:rPr>
                      <w:rFonts w:hint="eastAsia"/>
                      <w:u w:val="single"/>
                    </w:rPr>
                    <w:t>隔油池、防渗沉淀池等</w:t>
                  </w:r>
                </w:p>
              </w:tc>
              <w:tc>
                <w:tcPr>
                  <w:tcW w:w="1113" w:type="dxa"/>
                  <w:noWrap/>
                  <w:vAlign w:val="center"/>
                </w:tcPr>
                <w:p>
                  <w:pPr>
                    <w:jc w:val="center"/>
                    <w:rPr>
                      <w:u w:val="single"/>
                    </w:rPr>
                  </w:pPr>
                  <w:r>
                    <w:rPr>
                      <w:rFonts w:hint="eastAsia"/>
                      <w:u w:val="single"/>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noWrap/>
                  <w:vAlign w:val="center"/>
                </w:tcPr>
                <w:p>
                  <w:pPr>
                    <w:jc w:val="center"/>
                    <w:rPr>
                      <w:u w:val="single"/>
                    </w:rPr>
                  </w:pPr>
                  <w:r>
                    <w:rPr>
                      <w:u w:val="single"/>
                    </w:rPr>
                    <w:t>废气治理</w:t>
                  </w:r>
                </w:p>
              </w:tc>
              <w:tc>
                <w:tcPr>
                  <w:tcW w:w="4533" w:type="dxa"/>
                  <w:gridSpan w:val="2"/>
                  <w:noWrap/>
                  <w:vAlign w:val="center"/>
                </w:tcPr>
                <w:p>
                  <w:pPr>
                    <w:jc w:val="left"/>
                    <w:rPr>
                      <w:rFonts w:hint="eastAsia"/>
                      <w:u w:val="single"/>
                    </w:rPr>
                  </w:pPr>
                  <w:r>
                    <w:rPr>
                      <w:rFonts w:hint="default" w:asciiTheme="minorAscii" w:hAnsiTheme="minorAscii" w:eastAsiaTheme="minorEastAsia"/>
                      <w:spacing w:val="-6"/>
                      <w:sz w:val="21"/>
                      <w:u w:val="single"/>
                    </w:rPr>
                    <w:t>非甲烷总烃：集气罩+活性炭吸附+15m高排气筒</w:t>
                  </w:r>
                  <w:r>
                    <w:rPr>
                      <w:rFonts w:hint="eastAsia"/>
                      <w:u w:val="single"/>
                    </w:rPr>
                    <w:t>；颗粒物：集气罩+袋式除尘器+15m高排气筒；</w:t>
                  </w:r>
                </w:p>
                <w:p>
                  <w:pPr>
                    <w:jc w:val="left"/>
                    <w:rPr>
                      <w:u w:val="single"/>
                    </w:rPr>
                  </w:pPr>
                  <w:r>
                    <w:rPr>
                      <w:rFonts w:hint="eastAsia"/>
                      <w:u w:val="single"/>
                      <w:lang w:eastAsia="zh-CN"/>
                    </w:rPr>
                    <w:t>加强车间通风换气。</w:t>
                  </w:r>
                </w:p>
              </w:tc>
              <w:tc>
                <w:tcPr>
                  <w:tcW w:w="1113" w:type="dxa"/>
                  <w:noWrap/>
                  <w:vAlign w:val="center"/>
                </w:tcPr>
                <w:p>
                  <w:pPr>
                    <w:jc w:val="center"/>
                    <w:rPr>
                      <w:u w:val="single"/>
                    </w:rPr>
                  </w:pPr>
                  <w:r>
                    <w:rPr>
                      <w:rFonts w:hint="eastAsia"/>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noWrap/>
                  <w:vAlign w:val="center"/>
                </w:tcPr>
                <w:p>
                  <w:pPr>
                    <w:jc w:val="center"/>
                    <w:rPr>
                      <w:u w:val="single"/>
                    </w:rPr>
                  </w:pPr>
                  <w:r>
                    <w:rPr>
                      <w:u w:val="single"/>
                    </w:rPr>
                    <w:t>噪声治理</w:t>
                  </w:r>
                </w:p>
              </w:tc>
              <w:tc>
                <w:tcPr>
                  <w:tcW w:w="4533" w:type="dxa"/>
                  <w:gridSpan w:val="2"/>
                  <w:noWrap/>
                  <w:vAlign w:val="center"/>
                </w:tcPr>
                <w:p>
                  <w:pPr>
                    <w:jc w:val="center"/>
                    <w:rPr>
                      <w:u w:val="single"/>
                    </w:rPr>
                  </w:pPr>
                  <w:r>
                    <w:rPr>
                      <w:rFonts w:hint="eastAsia"/>
                      <w:u w:val="single"/>
                    </w:rPr>
                    <w:t>优先选用低噪声设备、在安装时增加必要减振设施，利用车间隔音等降噪措施</w:t>
                  </w:r>
                </w:p>
              </w:tc>
              <w:tc>
                <w:tcPr>
                  <w:tcW w:w="1113" w:type="dxa"/>
                  <w:noWrap/>
                  <w:vAlign w:val="center"/>
                </w:tcPr>
                <w:p>
                  <w:pPr>
                    <w:jc w:val="center"/>
                    <w:rPr>
                      <w:u w:val="single"/>
                    </w:rPr>
                  </w:pPr>
                  <w:r>
                    <w:rPr>
                      <w:rFonts w:hint="eastAsia"/>
                      <w:u w:val="single"/>
                      <w:lang w:val="en-US" w:eastAsia="zh-CN"/>
                    </w:rPr>
                    <w:t>2</w:t>
                  </w:r>
                  <w:r>
                    <w:rPr>
                      <w:rFonts w:hint="eastAsia"/>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vMerge w:val="restart"/>
                  <w:noWrap/>
                  <w:vAlign w:val="center"/>
                </w:tcPr>
                <w:p>
                  <w:pPr>
                    <w:jc w:val="center"/>
                    <w:rPr>
                      <w:u w:val="single"/>
                    </w:rPr>
                  </w:pPr>
                  <w:r>
                    <w:rPr>
                      <w:u w:val="single"/>
                    </w:rPr>
                    <w:t>固废物治理</w:t>
                  </w:r>
                </w:p>
              </w:tc>
              <w:tc>
                <w:tcPr>
                  <w:tcW w:w="1275" w:type="dxa"/>
                  <w:noWrap/>
                  <w:vAlign w:val="center"/>
                </w:tcPr>
                <w:p>
                  <w:pPr>
                    <w:adjustRightInd w:val="0"/>
                    <w:snapToGrid w:val="0"/>
                    <w:jc w:val="center"/>
                    <w:rPr>
                      <w:u w:val="single"/>
                    </w:rPr>
                  </w:pPr>
                  <w:r>
                    <w:rPr>
                      <w:u w:val="single"/>
                    </w:rPr>
                    <w:t>一般废物</w:t>
                  </w:r>
                </w:p>
              </w:tc>
              <w:tc>
                <w:tcPr>
                  <w:tcW w:w="3258" w:type="dxa"/>
                  <w:noWrap/>
                  <w:vAlign w:val="center"/>
                </w:tcPr>
                <w:p>
                  <w:pPr>
                    <w:jc w:val="center"/>
                    <w:rPr>
                      <w:u w:val="single"/>
                    </w:rPr>
                  </w:pPr>
                  <w:r>
                    <w:rPr>
                      <w:u w:val="single"/>
                    </w:rPr>
                    <w:t>垃圾箱、</w:t>
                  </w:r>
                  <w:r>
                    <w:rPr>
                      <w:rFonts w:hint="eastAsia"/>
                      <w:u w:val="single"/>
                    </w:rPr>
                    <w:t>库</w:t>
                  </w:r>
                  <w:r>
                    <w:rPr>
                      <w:rFonts w:hint="eastAsia"/>
                      <w:u w:val="single"/>
                      <w:lang w:eastAsia="zh-CN"/>
                    </w:rPr>
                    <w:t>房</w:t>
                  </w:r>
                  <w:r>
                    <w:rPr>
                      <w:u w:val="single"/>
                    </w:rPr>
                    <w:t>防渗处理等</w:t>
                  </w:r>
                </w:p>
              </w:tc>
              <w:tc>
                <w:tcPr>
                  <w:tcW w:w="1113" w:type="dxa"/>
                  <w:noWrap/>
                  <w:vAlign w:val="center"/>
                </w:tcPr>
                <w:p>
                  <w:pPr>
                    <w:jc w:val="center"/>
                    <w:rPr>
                      <w:u w:val="single"/>
                    </w:rPr>
                  </w:pPr>
                  <w:r>
                    <w:rPr>
                      <w:rFonts w:hint="eastAsia"/>
                      <w:u w:val="single"/>
                      <w:lang w:val="en-US" w:eastAsia="zh-CN"/>
                    </w:rPr>
                    <w:t>2</w:t>
                  </w:r>
                  <w:r>
                    <w:rPr>
                      <w:rFonts w:hint="eastAsia"/>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adjustRightInd w:val="0"/>
                    <w:snapToGrid w:val="0"/>
                    <w:jc w:val="center"/>
                    <w:rPr>
                      <w:u w:val="single"/>
                    </w:rPr>
                  </w:pPr>
                </w:p>
              </w:tc>
              <w:tc>
                <w:tcPr>
                  <w:tcW w:w="1276" w:type="dxa"/>
                  <w:vMerge w:val="continue"/>
                  <w:noWrap/>
                  <w:vAlign w:val="center"/>
                </w:tcPr>
                <w:p>
                  <w:pPr>
                    <w:adjustRightInd w:val="0"/>
                    <w:snapToGrid w:val="0"/>
                    <w:jc w:val="center"/>
                    <w:rPr>
                      <w:u w:val="single"/>
                    </w:rPr>
                  </w:pPr>
                </w:p>
              </w:tc>
              <w:tc>
                <w:tcPr>
                  <w:tcW w:w="1275" w:type="dxa"/>
                  <w:noWrap/>
                  <w:vAlign w:val="center"/>
                </w:tcPr>
                <w:p>
                  <w:pPr>
                    <w:jc w:val="center"/>
                    <w:rPr>
                      <w:u w:val="single"/>
                    </w:rPr>
                  </w:pPr>
                  <w:r>
                    <w:rPr>
                      <w:u w:val="single"/>
                    </w:rPr>
                    <w:t>危险废物</w:t>
                  </w:r>
                </w:p>
              </w:tc>
              <w:tc>
                <w:tcPr>
                  <w:tcW w:w="3258" w:type="dxa"/>
                  <w:noWrap/>
                  <w:vAlign w:val="center"/>
                </w:tcPr>
                <w:p>
                  <w:pPr>
                    <w:jc w:val="center"/>
                    <w:rPr>
                      <w:u w:val="single"/>
                    </w:rPr>
                  </w:pPr>
                  <w:r>
                    <w:rPr>
                      <w:u w:val="single"/>
                    </w:rPr>
                    <w:t>危险废物暂存间</w:t>
                  </w:r>
                </w:p>
                <w:p>
                  <w:pPr>
                    <w:jc w:val="center"/>
                    <w:rPr>
                      <w:u w:val="single"/>
                    </w:rPr>
                  </w:pPr>
                  <w:r>
                    <w:rPr>
                      <w:u w:val="single"/>
                    </w:rPr>
                    <w:t>危险废物专用容器</w:t>
                  </w:r>
                </w:p>
              </w:tc>
              <w:tc>
                <w:tcPr>
                  <w:tcW w:w="1113" w:type="dxa"/>
                  <w:noWrap/>
                  <w:vAlign w:val="center"/>
                </w:tcPr>
                <w:p>
                  <w:pPr>
                    <w:jc w:val="center"/>
                    <w:rPr>
                      <w:u w:val="single"/>
                    </w:rPr>
                  </w:pPr>
                  <w:r>
                    <w:rPr>
                      <w:rFonts w:hint="eastAsia"/>
                      <w:u w:val="single"/>
                      <w:lang w:val="en-US" w:eastAsia="zh-CN"/>
                    </w:rPr>
                    <w:t>5</w:t>
                  </w:r>
                  <w:r>
                    <w:rPr>
                      <w:rFonts w:hint="eastAsia"/>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noWrap/>
                  <w:vAlign w:val="center"/>
                </w:tcPr>
                <w:p>
                  <w:pPr>
                    <w:jc w:val="center"/>
                    <w:rPr>
                      <w:u w:val="single"/>
                    </w:rPr>
                  </w:pPr>
                  <w:r>
                    <w:rPr>
                      <w:u w:val="single"/>
                    </w:rPr>
                    <w:t>地下水</w:t>
                  </w:r>
                </w:p>
              </w:tc>
              <w:tc>
                <w:tcPr>
                  <w:tcW w:w="4533" w:type="dxa"/>
                  <w:gridSpan w:val="2"/>
                  <w:noWrap/>
                  <w:vAlign w:val="center"/>
                </w:tcPr>
                <w:p>
                  <w:pPr>
                    <w:jc w:val="center"/>
                    <w:rPr>
                      <w:u w:val="single"/>
                    </w:rPr>
                  </w:pPr>
                  <w:r>
                    <w:rPr>
                      <w:u w:val="single"/>
                    </w:rPr>
                    <w:t>简单防渗区的地面硬化</w:t>
                  </w:r>
                  <w:r>
                    <w:rPr>
                      <w:rFonts w:hint="eastAsia"/>
                      <w:u w:val="single"/>
                    </w:rPr>
                    <w:t>，</w:t>
                  </w:r>
                  <w:r>
                    <w:rPr>
                      <w:u w:val="single"/>
                    </w:rPr>
                    <w:t>一般污染防治区的防渗工程等措施</w:t>
                  </w:r>
                </w:p>
              </w:tc>
              <w:tc>
                <w:tcPr>
                  <w:tcW w:w="1113" w:type="dxa"/>
                  <w:noWrap/>
                  <w:vAlign w:val="center"/>
                </w:tcPr>
                <w:p>
                  <w:pPr>
                    <w:jc w:val="center"/>
                    <w:rPr>
                      <w:u w:val="single"/>
                    </w:rPr>
                  </w:pPr>
                  <w:r>
                    <w:rPr>
                      <w:rFonts w:hint="eastAsia"/>
                      <w:u w:val="single"/>
                      <w:lang w:val="en-US" w:eastAsia="zh-CN"/>
                    </w:rPr>
                    <w:t>13</w:t>
                  </w:r>
                  <w:r>
                    <w:rPr>
                      <w:rFonts w:hint="eastAsia"/>
                      <w:u w:val="single"/>
                    </w:rPr>
                    <w:t>.</w:t>
                  </w:r>
                  <w:r>
                    <w:rPr>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vMerge w:val="restart"/>
                  <w:noWrap/>
                  <w:vAlign w:val="center"/>
                </w:tcPr>
                <w:p>
                  <w:pPr>
                    <w:jc w:val="center"/>
                    <w:rPr>
                      <w:u w:val="single"/>
                    </w:rPr>
                  </w:pPr>
                  <w:r>
                    <w:rPr>
                      <w:u w:val="single"/>
                    </w:rPr>
                    <w:t>风险治理</w:t>
                  </w:r>
                </w:p>
              </w:tc>
              <w:tc>
                <w:tcPr>
                  <w:tcW w:w="4533" w:type="dxa"/>
                  <w:gridSpan w:val="2"/>
                  <w:noWrap/>
                  <w:vAlign w:val="center"/>
                </w:tcPr>
                <w:p>
                  <w:pPr>
                    <w:jc w:val="center"/>
                    <w:rPr>
                      <w:u w:val="single"/>
                    </w:rPr>
                  </w:pPr>
                  <w:r>
                    <w:rPr>
                      <w:u w:val="single"/>
                    </w:rPr>
                    <w:t>应急预案编制、安全生产培训、应急演练等</w:t>
                  </w:r>
                </w:p>
              </w:tc>
              <w:tc>
                <w:tcPr>
                  <w:tcW w:w="1113" w:type="dxa"/>
                  <w:noWrap/>
                  <w:vAlign w:val="center"/>
                </w:tcPr>
                <w:p>
                  <w:pPr>
                    <w:jc w:val="center"/>
                    <w:rPr>
                      <w:u w:val="single"/>
                    </w:rPr>
                  </w:pPr>
                  <w:r>
                    <w:rPr>
                      <w:rFonts w:hint="eastAsia"/>
                      <w:u w:val="single"/>
                      <w:lang w:val="en-US" w:eastAsia="zh-CN"/>
                    </w:rPr>
                    <w:t>2</w:t>
                  </w:r>
                  <w:r>
                    <w:rPr>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vMerge w:val="continue"/>
                  <w:noWrap/>
                  <w:vAlign w:val="center"/>
                </w:tcPr>
                <w:p>
                  <w:pPr>
                    <w:jc w:val="center"/>
                    <w:rPr>
                      <w:u w:val="single"/>
                    </w:rPr>
                  </w:pPr>
                </w:p>
              </w:tc>
              <w:tc>
                <w:tcPr>
                  <w:tcW w:w="1276" w:type="dxa"/>
                  <w:vMerge w:val="continue"/>
                  <w:noWrap/>
                  <w:vAlign w:val="center"/>
                </w:tcPr>
                <w:p>
                  <w:pPr>
                    <w:jc w:val="center"/>
                    <w:rPr>
                      <w:u w:val="single"/>
                    </w:rPr>
                  </w:pPr>
                </w:p>
              </w:tc>
              <w:tc>
                <w:tcPr>
                  <w:tcW w:w="4533" w:type="dxa"/>
                  <w:gridSpan w:val="2"/>
                  <w:noWrap/>
                  <w:vAlign w:val="center"/>
                </w:tcPr>
                <w:p>
                  <w:pPr>
                    <w:jc w:val="center"/>
                    <w:rPr>
                      <w:u w:val="single"/>
                    </w:rPr>
                  </w:pPr>
                  <w:r>
                    <w:rPr>
                      <w:u w:val="single"/>
                    </w:rPr>
                    <w:t>危废暂存地面防渗、永久围堰</w:t>
                  </w:r>
                </w:p>
              </w:tc>
              <w:tc>
                <w:tcPr>
                  <w:tcW w:w="1113" w:type="dxa"/>
                  <w:noWrap/>
                  <w:vAlign w:val="center"/>
                </w:tcPr>
                <w:p>
                  <w:pPr>
                    <w:jc w:val="center"/>
                    <w:rPr>
                      <w:rFonts w:hint="default" w:eastAsiaTheme="minorEastAsia"/>
                      <w:u w:val="single"/>
                      <w:lang w:val="en-US" w:eastAsia="zh-CN"/>
                    </w:rPr>
                  </w:pPr>
                  <w:r>
                    <w:rPr>
                      <w:rFonts w:hint="eastAsia"/>
                      <w:u w:val="singl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 w:type="dxa"/>
                  <w:noWrap/>
                  <w:vAlign w:val="center"/>
                </w:tcPr>
                <w:p>
                  <w:pPr>
                    <w:jc w:val="center"/>
                    <w:rPr>
                      <w:u w:val="single"/>
                    </w:rPr>
                  </w:pPr>
                </w:p>
              </w:tc>
              <w:tc>
                <w:tcPr>
                  <w:tcW w:w="1276" w:type="dxa"/>
                  <w:noWrap/>
                  <w:vAlign w:val="center"/>
                </w:tcPr>
                <w:p>
                  <w:pPr>
                    <w:jc w:val="center"/>
                    <w:rPr>
                      <w:u w:val="single"/>
                    </w:rPr>
                  </w:pPr>
                  <w:r>
                    <w:rPr>
                      <w:u w:val="single"/>
                    </w:rPr>
                    <w:t>合 计</w:t>
                  </w:r>
                </w:p>
              </w:tc>
              <w:tc>
                <w:tcPr>
                  <w:tcW w:w="4533" w:type="dxa"/>
                  <w:gridSpan w:val="2"/>
                  <w:noWrap/>
                  <w:vAlign w:val="center"/>
                </w:tcPr>
                <w:p>
                  <w:pPr>
                    <w:jc w:val="center"/>
                    <w:rPr>
                      <w:u w:val="single"/>
                    </w:rPr>
                  </w:pPr>
                  <w:r>
                    <w:rPr>
                      <w:u w:val="single"/>
                    </w:rPr>
                    <w:t>—</w:t>
                  </w:r>
                </w:p>
              </w:tc>
              <w:tc>
                <w:tcPr>
                  <w:tcW w:w="1113" w:type="dxa"/>
                  <w:noWrap/>
                  <w:vAlign w:val="center"/>
                </w:tcPr>
                <w:p>
                  <w:pPr>
                    <w:jc w:val="center"/>
                    <w:rPr>
                      <w:u w:val="single"/>
                    </w:rPr>
                  </w:pPr>
                  <w:r>
                    <w:rPr>
                      <w:rFonts w:hint="eastAsia"/>
                      <w:u w:val="single"/>
                      <w:lang w:val="en-US" w:eastAsia="zh-CN"/>
                    </w:rPr>
                    <w:t>50</w:t>
                  </w:r>
                </w:p>
              </w:tc>
            </w:tr>
          </w:tbl>
          <w:p>
            <w:pPr>
              <w:pStyle w:val="3"/>
              <w:spacing w:before="62" w:after="62"/>
            </w:pPr>
          </w:p>
          <w:p>
            <w:pPr>
              <w:autoSpaceDE w:val="0"/>
              <w:autoSpaceDN w:val="0"/>
              <w:adjustRightInd w:val="0"/>
              <w:snapToGrid w:val="0"/>
              <w:spacing w:line="460" w:lineRule="exact"/>
              <w:ind w:firstLine="420" w:firstLineChars="200"/>
              <w:jc w:val="left"/>
            </w:pPr>
          </w:p>
          <w:p>
            <w:pPr>
              <w:pStyle w:val="2"/>
            </w:pPr>
          </w:p>
        </w:tc>
      </w:tr>
    </w:tbl>
    <w:p>
      <w:pPr>
        <w:pStyle w:val="2"/>
        <w:ind w:firstLine="0" w:firstLineChars="0"/>
        <w:jc w:val="center"/>
        <w:outlineLvl w:val="0"/>
        <w:rPr>
          <w:rFonts w:ascii="Times New Roman" w:hAnsi="Times New Roman" w:eastAsia="宋体" w:cs="Times New Roman"/>
          <w:b/>
          <w:bCs/>
          <w:u w:val="single"/>
        </w:rPr>
      </w:pPr>
      <w:r>
        <w:rPr>
          <w:rFonts w:ascii="Times New Roman" w:hAnsi="Times New Roman" w:eastAsia="宋体" w:cs="Times New Roman"/>
          <w:color w:val="auto"/>
          <w:sz w:val="30"/>
          <w:szCs w:val="30"/>
          <w:highlight w:val="yellow"/>
        </w:rPr>
        <w:br w:type="column"/>
      </w:r>
      <w:r>
        <w:rPr>
          <w:rFonts w:ascii="Times New Roman" w:hAnsi="Times New Roman" w:eastAsia="宋体" w:cs="Times New Roman"/>
          <w:b/>
          <w:bCs/>
          <w:color w:val="auto"/>
          <w:sz w:val="30"/>
          <w:szCs w:val="30"/>
          <w:u w:val="single"/>
        </w:rPr>
        <w:t>五、环境保护措施监督检查清单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48"/>
        <w:gridCol w:w="1035"/>
        <w:gridCol w:w="1635"/>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95" w:type="dxa"/>
            <w:vAlign w:val="center"/>
          </w:tcPr>
          <w:p>
            <w:pPr>
              <w:snapToGrid w:val="0"/>
              <w:jc w:val="right"/>
              <w:rPr>
                <w:rFonts w:ascii="Times New Roman" w:hAnsi="Times New Roman" w:eastAsia="宋体" w:cs="Times New Roman"/>
                <w:b/>
                <w:bCs/>
                <w:sz w:val="24"/>
                <w:u w:val="single"/>
              </w:rPr>
            </w:pPr>
            <w:r>
              <w:rPr>
                <w:rFonts w:ascii="Times New Roman" w:hAnsi="Times New Roman" w:eastAsia="宋体" w:cs="Times New Roman"/>
                <w:b/>
                <w:bCs/>
                <w:sz w:val="24"/>
                <w:u w:val="single"/>
              </w:rPr>
              <w:t>要素</w:t>
            </w:r>
          </w:p>
          <w:p>
            <w:pPr>
              <w:snapToGrid w:val="0"/>
              <w:rPr>
                <w:rFonts w:ascii="Times New Roman" w:hAnsi="Times New Roman" w:eastAsia="宋体" w:cs="Times New Roman"/>
                <w:b/>
                <w:bCs/>
                <w:sz w:val="24"/>
                <w:u w:val="single"/>
              </w:rPr>
            </w:pPr>
            <w:r>
              <w:rPr>
                <w:rFonts w:ascii="Times New Roman" w:hAnsi="Times New Roman" w:eastAsia="宋体" w:cs="Times New Roman"/>
                <w:b/>
                <w:bCs/>
                <w:sz w:val="24"/>
                <w:u w:val="single"/>
              </w:rPr>
              <w:t>内容</w:t>
            </w:r>
          </w:p>
        </w:tc>
        <w:tc>
          <w:tcPr>
            <w:tcW w:w="1748" w:type="dxa"/>
            <w:vAlign w:val="center"/>
          </w:tcPr>
          <w:p>
            <w:pPr>
              <w:snapToGrid w:val="0"/>
              <w:jc w:val="center"/>
              <w:rPr>
                <w:rFonts w:ascii="Times New Roman" w:hAnsi="Times New Roman" w:eastAsia="宋体" w:cs="Times New Roman"/>
                <w:b/>
                <w:bCs/>
                <w:sz w:val="24"/>
                <w:u w:val="single"/>
              </w:rPr>
            </w:pPr>
            <w:r>
              <w:rPr>
                <w:rFonts w:ascii="Times New Roman" w:hAnsi="Times New Roman" w:eastAsia="宋体" w:cs="Times New Roman"/>
                <w:b/>
                <w:bCs/>
                <w:sz w:val="24"/>
                <w:u w:val="single"/>
              </w:rPr>
              <w:t>排放口（编号、名称）/污染源</w:t>
            </w:r>
          </w:p>
        </w:tc>
        <w:tc>
          <w:tcPr>
            <w:tcW w:w="1035" w:type="dxa"/>
            <w:vAlign w:val="center"/>
          </w:tcPr>
          <w:p>
            <w:pPr>
              <w:snapToGrid w:val="0"/>
              <w:jc w:val="center"/>
              <w:rPr>
                <w:rFonts w:ascii="Times New Roman" w:hAnsi="Times New Roman" w:eastAsia="宋体" w:cs="Times New Roman"/>
                <w:b/>
                <w:bCs/>
                <w:sz w:val="24"/>
                <w:u w:val="single"/>
              </w:rPr>
            </w:pPr>
            <w:r>
              <w:rPr>
                <w:rFonts w:ascii="Times New Roman" w:hAnsi="Times New Roman" w:eastAsia="宋体" w:cs="Times New Roman"/>
                <w:b/>
                <w:bCs/>
                <w:sz w:val="24"/>
                <w:u w:val="single"/>
              </w:rPr>
              <w:t>污染物项目</w:t>
            </w:r>
          </w:p>
        </w:tc>
        <w:tc>
          <w:tcPr>
            <w:tcW w:w="1635" w:type="dxa"/>
            <w:vAlign w:val="center"/>
          </w:tcPr>
          <w:p>
            <w:pPr>
              <w:snapToGrid w:val="0"/>
              <w:jc w:val="center"/>
              <w:rPr>
                <w:rFonts w:ascii="Times New Roman" w:hAnsi="Times New Roman" w:eastAsia="宋体" w:cs="Times New Roman"/>
                <w:b/>
                <w:bCs/>
                <w:sz w:val="24"/>
                <w:u w:val="single"/>
              </w:rPr>
            </w:pPr>
            <w:r>
              <w:rPr>
                <w:rFonts w:ascii="Times New Roman" w:hAnsi="Times New Roman" w:eastAsia="宋体" w:cs="Times New Roman"/>
                <w:b/>
                <w:bCs/>
                <w:sz w:val="24"/>
                <w:u w:val="single"/>
              </w:rPr>
              <w:t>环境保护</w:t>
            </w:r>
          </w:p>
          <w:p>
            <w:pPr>
              <w:snapToGrid w:val="0"/>
              <w:jc w:val="center"/>
              <w:rPr>
                <w:rFonts w:ascii="Times New Roman" w:hAnsi="Times New Roman" w:eastAsia="宋体" w:cs="Times New Roman"/>
                <w:b/>
                <w:bCs/>
                <w:sz w:val="24"/>
                <w:u w:val="single"/>
              </w:rPr>
            </w:pPr>
            <w:r>
              <w:rPr>
                <w:rFonts w:ascii="Times New Roman" w:hAnsi="Times New Roman" w:eastAsia="宋体" w:cs="Times New Roman"/>
                <w:b/>
                <w:bCs/>
                <w:sz w:val="24"/>
                <w:u w:val="single"/>
              </w:rPr>
              <w:t>措施</w:t>
            </w:r>
          </w:p>
        </w:tc>
        <w:tc>
          <w:tcPr>
            <w:tcW w:w="3107" w:type="dxa"/>
            <w:vAlign w:val="center"/>
          </w:tcPr>
          <w:p>
            <w:pPr>
              <w:snapToGrid w:val="0"/>
              <w:jc w:val="center"/>
              <w:rPr>
                <w:rFonts w:ascii="Times New Roman" w:hAnsi="Times New Roman" w:eastAsia="宋体" w:cs="Times New Roman"/>
                <w:b/>
                <w:bCs/>
                <w:sz w:val="24"/>
                <w:u w:val="single"/>
              </w:rPr>
            </w:pPr>
            <w:r>
              <w:rPr>
                <w:rFonts w:ascii="Times New Roman" w:hAnsi="Times New Roman" w:eastAsia="宋体" w:cs="Times New Roman"/>
                <w:b/>
                <w:bCs/>
                <w:sz w:val="24"/>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195" w:type="dxa"/>
            <w:vMerge w:val="restart"/>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大气环境</w:t>
            </w:r>
          </w:p>
        </w:tc>
        <w:tc>
          <w:tcPr>
            <w:tcW w:w="1748" w:type="dxa"/>
            <w:tcBorders>
              <w:bottom w:val="single" w:color="auto" w:sz="2" w:space="0"/>
            </w:tcBorders>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拆解车间外（厂区内无组织）</w:t>
            </w:r>
          </w:p>
        </w:tc>
        <w:tc>
          <w:tcPr>
            <w:tcW w:w="1035" w:type="dxa"/>
            <w:tcBorders>
              <w:bottom w:val="single" w:color="auto" w:sz="2" w:space="0"/>
            </w:tcBorders>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非甲烷总烃</w:t>
            </w:r>
          </w:p>
        </w:tc>
        <w:tc>
          <w:tcPr>
            <w:tcW w:w="1635" w:type="dxa"/>
            <w:tcBorders>
              <w:bottom w:val="single" w:color="auto" w:sz="2" w:space="0"/>
            </w:tcBorders>
            <w:vAlign w:val="center"/>
          </w:tcPr>
          <w:p>
            <w:pPr>
              <w:adjustRightInd w:val="0"/>
              <w:snapToGrid w:val="0"/>
              <w:jc w:val="center"/>
              <w:rPr>
                <w:rFonts w:hint="eastAsia" w:ascii="Times New Roman" w:hAnsi="Times New Roman" w:cs="Times New Roman" w:eastAsiaTheme="minorEastAsia"/>
                <w:sz w:val="24"/>
                <w:u w:val="single"/>
                <w:lang w:eastAsia="zh-CN"/>
              </w:rPr>
            </w:pPr>
            <w:r>
              <w:rPr>
                <w:rFonts w:hint="eastAsia" w:ascii="宋体" w:hAnsi="宋体" w:cs="宋体"/>
                <w:sz w:val="24"/>
                <w:szCs w:val="21"/>
                <w:u w:val="single"/>
              </w:rPr>
              <w:t>封闭式拆解</w:t>
            </w:r>
            <w:r>
              <w:rPr>
                <w:rFonts w:hint="eastAsia" w:ascii="宋体" w:hAnsi="宋体" w:cs="宋体" w:eastAsiaTheme="minorEastAsia"/>
                <w:spacing w:val="-11"/>
                <w:sz w:val="24"/>
                <w:szCs w:val="21"/>
                <w:u w:val="single"/>
              </w:rPr>
              <w:t>车间，使用排风</w:t>
            </w:r>
            <w:r>
              <w:rPr>
                <w:rFonts w:hint="eastAsia" w:ascii="宋体" w:hAnsi="宋体" w:cs="宋体"/>
                <w:sz w:val="24"/>
                <w:szCs w:val="21"/>
                <w:u w:val="single"/>
              </w:rPr>
              <w:t>扇加强车间内排风</w:t>
            </w:r>
            <w:r>
              <w:rPr>
                <w:rFonts w:hint="eastAsia" w:ascii="宋体" w:hAnsi="宋体" w:cs="宋体"/>
                <w:sz w:val="24"/>
                <w:szCs w:val="21"/>
                <w:u w:val="single"/>
                <w:lang w:eastAsia="zh-CN"/>
              </w:rPr>
              <w:t>换气</w:t>
            </w:r>
          </w:p>
        </w:tc>
        <w:tc>
          <w:tcPr>
            <w:tcW w:w="3107" w:type="dxa"/>
            <w:tcBorders>
              <w:bottom w:val="single" w:color="auto" w:sz="2" w:space="0"/>
            </w:tcBorders>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lang w:eastAsia="zh-CN"/>
              </w:rPr>
              <w:t>厂区内</w:t>
            </w:r>
            <w:r>
              <w:rPr>
                <w:rFonts w:hint="eastAsia" w:ascii="宋体" w:hAnsi="宋体" w:cs="宋体"/>
                <w:sz w:val="24"/>
                <w:szCs w:val="21"/>
                <w:u w:val="single"/>
              </w:rPr>
              <w:t>《挥发性有机物无组织排放控制标准》（GB37822 -2019）表A.1排放限值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5" w:type="dxa"/>
            <w:vMerge w:val="continue"/>
            <w:vAlign w:val="center"/>
          </w:tcPr>
          <w:p>
            <w:pPr>
              <w:snapToGrid w:val="0"/>
              <w:spacing w:line="360" w:lineRule="exact"/>
              <w:jc w:val="center"/>
              <w:rPr>
                <w:rFonts w:ascii="Times New Roman" w:hAnsi="Times New Roman" w:eastAsia="宋体" w:cs="Times New Roman"/>
                <w:sz w:val="24"/>
                <w:u w:val="single"/>
              </w:rPr>
            </w:pPr>
          </w:p>
        </w:tc>
        <w:tc>
          <w:tcPr>
            <w:tcW w:w="1748"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预处理废气</w:t>
            </w:r>
          </w:p>
        </w:tc>
        <w:tc>
          <w:tcPr>
            <w:tcW w:w="1035" w:type="dxa"/>
            <w:vMerge w:val="restart"/>
            <w:vAlign w:val="center"/>
          </w:tcPr>
          <w:p>
            <w:pPr>
              <w:adjustRightInd w:val="0"/>
              <w:snapToGrid w:val="0"/>
              <w:jc w:val="center"/>
              <w:rPr>
                <w:rFonts w:ascii="Times New Roman" w:hAnsi="Times New Roman" w:cs="Times New Roman"/>
                <w:sz w:val="24"/>
                <w:u w:val="single"/>
              </w:rPr>
            </w:pPr>
            <w:r>
              <w:rPr>
                <w:rFonts w:hint="eastAsia" w:ascii="宋体" w:hAnsi="宋体" w:cs="宋体"/>
                <w:sz w:val="24"/>
                <w:szCs w:val="21"/>
                <w:u w:val="single"/>
              </w:rPr>
              <w:t>非甲烷总烃</w:t>
            </w:r>
          </w:p>
        </w:tc>
        <w:tc>
          <w:tcPr>
            <w:tcW w:w="1635" w:type="dxa"/>
            <w:vMerge w:val="restart"/>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集气罩+活性炭吸附+15m排气筒DA001</w:t>
            </w:r>
          </w:p>
        </w:tc>
        <w:tc>
          <w:tcPr>
            <w:tcW w:w="3107" w:type="dxa"/>
            <w:vMerge w:val="restart"/>
            <w:vAlign w:val="center"/>
          </w:tcPr>
          <w:p>
            <w:pPr>
              <w:jc w:val="center"/>
              <w:rPr>
                <w:rFonts w:ascii="宋体" w:hAnsi="宋体" w:cs="宋体"/>
                <w:sz w:val="24"/>
                <w:szCs w:val="21"/>
                <w:u w:val="single"/>
              </w:rPr>
            </w:pPr>
            <w:r>
              <w:rPr>
                <w:rFonts w:hint="eastAsia" w:ascii="宋体" w:hAnsi="宋体" w:cs="宋体"/>
                <w:sz w:val="24"/>
                <w:szCs w:val="21"/>
                <w:u w:val="single"/>
              </w:rPr>
              <w:t>《大气污染物综合排放标准》（GB16297 -1996）</w:t>
            </w:r>
          </w:p>
          <w:p>
            <w:pPr>
              <w:jc w:val="center"/>
              <w:rPr>
                <w:u w:val="single"/>
              </w:rPr>
            </w:pPr>
            <w:r>
              <w:rPr>
                <w:rFonts w:hint="eastAsia" w:ascii="宋体" w:hAnsi="宋体" w:cs="宋体"/>
                <w:sz w:val="24"/>
                <w:szCs w:val="21"/>
                <w:u w:val="single"/>
              </w:rPr>
              <w:t>表2标准；</w:t>
            </w: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5" w:type="dxa"/>
            <w:vMerge w:val="continue"/>
            <w:vAlign w:val="center"/>
          </w:tcPr>
          <w:p>
            <w:pPr>
              <w:snapToGrid w:val="0"/>
              <w:spacing w:line="360" w:lineRule="exact"/>
              <w:jc w:val="center"/>
              <w:rPr>
                <w:u w:val="single"/>
              </w:rPr>
            </w:pPr>
          </w:p>
        </w:tc>
        <w:tc>
          <w:tcPr>
            <w:tcW w:w="1748" w:type="dxa"/>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rPr>
              <w:t>废机油收</w:t>
            </w:r>
          </w:p>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储间废气</w:t>
            </w:r>
          </w:p>
        </w:tc>
        <w:tc>
          <w:tcPr>
            <w:tcW w:w="1035" w:type="dxa"/>
            <w:vMerge w:val="continue"/>
            <w:vAlign w:val="center"/>
          </w:tcPr>
          <w:p>
            <w:pPr>
              <w:snapToGrid w:val="0"/>
              <w:spacing w:line="360" w:lineRule="exact"/>
              <w:jc w:val="center"/>
              <w:rPr>
                <w:rFonts w:ascii="Times New Roman" w:hAnsi="Times New Roman" w:eastAsia="宋体" w:cs="Times New Roman"/>
                <w:sz w:val="24"/>
                <w:u w:val="single"/>
              </w:rPr>
            </w:pPr>
          </w:p>
        </w:tc>
        <w:tc>
          <w:tcPr>
            <w:tcW w:w="1635" w:type="dxa"/>
            <w:vMerge w:val="continue"/>
            <w:vAlign w:val="center"/>
          </w:tcPr>
          <w:p>
            <w:pPr>
              <w:snapToGrid w:val="0"/>
              <w:spacing w:line="360" w:lineRule="exact"/>
              <w:jc w:val="center"/>
              <w:rPr>
                <w:rFonts w:ascii="Times New Roman" w:hAnsi="Times New Roman" w:eastAsia="宋体" w:cs="Times New Roman"/>
                <w:sz w:val="24"/>
                <w:u w:val="single"/>
              </w:rPr>
            </w:pPr>
          </w:p>
        </w:tc>
        <w:tc>
          <w:tcPr>
            <w:tcW w:w="3107" w:type="dxa"/>
            <w:vMerge w:val="continue"/>
            <w:vAlign w:val="center"/>
          </w:tcPr>
          <w:p>
            <w:pPr>
              <w:snapToGrid w:val="0"/>
              <w:spacing w:line="360" w:lineRule="exact"/>
              <w:jc w:val="center"/>
              <w:rPr>
                <w:rFonts w:ascii="Times New Roman" w:hAnsi="Times New Roman"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5" w:type="dxa"/>
            <w:vMerge w:val="continue"/>
            <w:vAlign w:val="center"/>
          </w:tcPr>
          <w:p>
            <w:pPr>
              <w:snapToGrid w:val="0"/>
              <w:spacing w:line="360" w:lineRule="exact"/>
              <w:jc w:val="center"/>
              <w:rPr>
                <w:u w:val="single"/>
              </w:rPr>
            </w:pPr>
          </w:p>
        </w:tc>
        <w:tc>
          <w:tcPr>
            <w:tcW w:w="1748" w:type="dxa"/>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rPr>
              <w:t>切割粉尘</w:t>
            </w:r>
          </w:p>
          <w:p>
            <w:pPr>
              <w:adjustRightInd w:val="0"/>
              <w:snapToGrid w:val="0"/>
              <w:jc w:val="center"/>
              <w:rPr>
                <w:rFonts w:ascii="宋体" w:hAnsi="宋体" w:cs="宋体"/>
                <w:sz w:val="24"/>
                <w:szCs w:val="21"/>
                <w:u w:val="single"/>
              </w:rPr>
            </w:pPr>
            <w:r>
              <w:rPr>
                <w:rFonts w:hint="eastAsia" w:ascii="宋体" w:hAnsi="宋体" w:cs="宋体"/>
                <w:sz w:val="24"/>
                <w:szCs w:val="21"/>
                <w:u w:val="single"/>
              </w:rPr>
              <w:t>压块粉尘</w:t>
            </w:r>
          </w:p>
        </w:tc>
        <w:tc>
          <w:tcPr>
            <w:tcW w:w="1035"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颗粒物</w:t>
            </w:r>
          </w:p>
        </w:tc>
        <w:tc>
          <w:tcPr>
            <w:tcW w:w="1635"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集气罩+袋式除尘器+15m高排气筒DA002；</w:t>
            </w:r>
          </w:p>
        </w:tc>
        <w:tc>
          <w:tcPr>
            <w:tcW w:w="3107" w:type="dxa"/>
            <w:vMerge w:val="continue"/>
            <w:vAlign w:val="center"/>
          </w:tcPr>
          <w:p>
            <w:pPr>
              <w:snapToGrid w:val="0"/>
              <w:spacing w:line="360" w:lineRule="exact"/>
              <w:jc w:val="center"/>
              <w:rPr>
                <w:rFonts w:ascii="Times New Roman" w:hAnsi="Times New Roman"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5" w:type="dxa"/>
            <w:vMerge w:val="continue"/>
            <w:vAlign w:val="center"/>
          </w:tcPr>
          <w:p>
            <w:pPr>
              <w:snapToGrid w:val="0"/>
              <w:spacing w:line="360" w:lineRule="exact"/>
              <w:jc w:val="center"/>
              <w:rPr>
                <w:u w:val="single"/>
              </w:rPr>
            </w:pPr>
          </w:p>
        </w:tc>
        <w:tc>
          <w:tcPr>
            <w:tcW w:w="1748" w:type="dxa"/>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lang w:eastAsia="zh-CN"/>
              </w:rPr>
              <w:t>无组织</w:t>
            </w:r>
            <w:r>
              <w:rPr>
                <w:rFonts w:hint="eastAsia" w:ascii="宋体" w:hAnsi="宋体" w:cs="宋体"/>
                <w:sz w:val="24"/>
                <w:szCs w:val="21"/>
                <w:u w:val="single"/>
              </w:rPr>
              <w:t>厂界</w:t>
            </w:r>
          </w:p>
        </w:tc>
        <w:tc>
          <w:tcPr>
            <w:tcW w:w="1035"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非甲烷总烃</w:t>
            </w:r>
            <w:r>
              <w:rPr>
                <w:rFonts w:hint="eastAsia" w:ascii="宋体" w:hAnsi="宋体" w:cs="宋体"/>
                <w:spacing w:val="-20"/>
                <w:sz w:val="24"/>
                <w:szCs w:val="21"/>
                <w:u w:val="single"/>
              </w:rPr>
              <w:t>、</w:t>
            </w:r>
            <w:r>
              <w:rPr>
                <w:rFonts w:hint="eastAsia" w:ascii="宋体" w:hAnsi="宋体" w:cs="宋体"/>
                <w:sz w:val="24"/>
                <w:szCs w:val="21"/>
                <w:u w:val="single"/>
              </w:rPr>
              <w:t>颗粒物</w:t>
            </w:r>
          </w:p>
        </w:tc>
        <w:tc>
          <w:tcPr>
            <w:tcW w:w="1635"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封闭式生产车间，排风扇排风等</w:t>
            </w:r>
          </w:p>
        </w:tc>
        <w:tc>
          <w:tcPr>
            <w:tcW w:w="3107" w:type="dxa"/>
            <w:vMerge w:val="continue"/>
            <w:vAlign w:val="center"/>
          </w:tcPr>
          <w:p>
            <w:pPr>
              <w:snapToGrid w:val="0"/>
              <w:spacing w:line="360" w:lineRule="exact"/>
              <w:jc w:val="center"/>
              <w:rPr>
                <w:rFonts w:ascii="Times New Roman" w:hAnsi="Times New Roman"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95" w:type="dxa"/>
            <w:vMerge w:val="restart"/>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地表水</w:t>
            </w:r>
          </w:p>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环境</w:t>
            </w:r>
          </w:p>
        </w:tc>
        <w:tc>
          <w:tcPr>
            <w:tcW w:w="1748" w:type="dxa"/>
            <w:tcBorders>
              <w:bottom w:val="single" w:color="000000" w:sz="2" w:space="0"/>
            </w:tcBorders>
            <w:vAlign w:val="center"/>
          </w:tcPr>
          <w:p>
            <w:pPr>
              <w:adjustRightInd w:val="0"/>
              <w:snapToGrid w:val="0"/>
              <w:jc w:val="center"/>
              <w:rPr>
                <w:rFonts w:ascii="Times New Roman" w:hAnsi="Times New Roman" w:eastAsia="宋体" w:cs="Times New Roman"/>
                <w:kern w:val="21"/>
                <w:sz w:val="24"/>
                <w:u w:val="single"/>
              </w:rPr>
            </w:pPr>
            <w:r>
              <w:rPr>
                <w:rFonts w:hint="eastAsia" w:ascii="宋体" w:hAnsi="宋体" w:cs="宋体"/>
                <w:sz w:val="24"/>
                <w:szCs w:val="21"/>
                <w:u w:val="single"/>
              </w:rPr>
              <w:t>生活污水</w:t>
            </w:r>
          </w:p>
        </w:tc>
        <w:tc>
          <w:tcPr>
            <w:tcW w:w="1035" w:type="dxa"/>
            <w:tcBorders>
              <w:bottom w:val="single" w:color="000000" w:sz="2" w:space="0"/>
            </w:tcBorders>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rPr>
              <w:t>COD、BOD</w:t>
            </w:r>
            <w:r>
              <w:rPr>
                <w:rFonts w:hint="eastAsia" w:ascii="宋体" w:hAnsi="宋体" w:cs="宋体"/>
                <w:sz w:val="24"/>
                <w:szCs w:val="21"/>
                <w:u w:val="single"/>
                <w:vertAlign w:val="subscript"/>
              </w:rPr>
              <w:t>5</w:t>
            </w:r>
            <w:r>
              <w:rPr>
                <w:rFonts w:hint="eastAsia" w:ascii="宋体" w:hAnsi="宋体" w:cs="宋体"/>
                <w:sz w:val="24"/>
                <w:szCs w:val="21"/>
                <w:u w:val="single"/>
              </w:rPr>
              <w:t>、NH</w:t>
            </w:r>
            <w:r>
              <w:rPr>
                <w:rFonts w:hint="eastAsia" w:ascii="宋体" w:hAnsi="宋体" w:cs="宋体"/>
                <w:sz w:val="24"/>
                <w:szCs w:val="21"/>
                <w:u w:val="single"/>
                <w:vertAlign w:val="subscript"/>
              </w:rPr>
              <w:t>3</w:t>
            </w:r>
            <w:r>
              <w:rPr>
                <w:rFonts w:hint="eastAsia" w:ascii="宋体" w:hAnsi="宋体" w:cs="宋体"/>
                <w:sz w:val="24"/>
                <w:szCs w:val="21"/>
                <w:u w:val="single"/>
              </w:rPr>
              <w:t>-N、</w:t>
            </w:r>
          </w:p>
          <w:p>
            <w:pPr>
              <w:adjustRightInd w:val="0"/>
              <w:snapToGrid w:val="0"/>
              <w:jc w:val="center"/>
              <w:rPr>
                <w:rFonts w:ascii="Times New Roman" w:hAnsi="Times New Roman" w:eastAsia="宋体" w:cs="Times New Roman"/>
                <w:kern w:val="21"/>
                <w:sz w:val="24"/>
                <w:u w:val="single"/>
              </w:rPr>
            </w:pPr>
            <w:r>
              <w:rPr>
                <w:rFonts w:hint="eastAsia" w:ascii="宋体" w:hAnsi="宋体" w:cs="宋体"/>
                <w:sz w:val="24"/>
                <w:szCs w:val="21"/>
                <w:u w:val="single"/>
              </w:rPr>
              <w:t>SS</w:t>
            </w:r>
          </w:p>
        </w:tc>
        <w:tc>
          <w:tcPr>
            <w:tcW w:w="1635" w:type="dxa"/>
            <w:tcBorders>
              <w:bottom w:val="single" w:color="000000" w:sz="2" w:space="0"/>
            </w:tcBorders>
            <w:vAlign w:val="center"/>
          </w:tcPr>
          <w:p>
            <w:pPr>
              <w:adjustRightInd w:val="0"/>
              <w:snapToGrid w:val="0"/>
              <w:jc w:val="center"/>
              <w:rPr>
                <w:rFonts w:ascii="Times New Roman" w:hAnsi="Times New Roman" w:eastAsia="宋体" w:cs="Times New Roman"/>
                <w:bCs/>
                <w:sz w:val="24"/>
                <w:u w:val="single"/>
              </w:rPr>
            </w:pPr>
            <w:r>
              <w:rPr>
                <w:rFonts w:hint="eastAsia" w:ascii="宋体" w:hAnsi="宋体" w:cs="宋体"/>
                <w:sz w:val="24"/>
                <w:szCs w:val="21"/>
                <w:u w:val="single"/>
              </w:rPr>
              <w:t>排入园区污水管网</w:t>
            </w:r>
          </w:p>
        </w:tc>
        <w:tc>
          <w:tcPr>
            <w:tcW w:w="3107" w:type="dxa"/>
            <w:tcBorders>
              <w:bottom w:val="single" w:color="000000" w:sz="2" w:space="0"/>
            </w:tcBorders>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rPr>
              <w:t xml:space="preserve">《污水综合排放标准》 </w:t>
            </w:r>
          </w:p>
          <w:p>
            <w:pPr>
              <w:adjustRightInd w:val="0"/>
              <w:snapToGrid w:val="0"/>
              <w:jc w:val="center"/>
              <w:rPr>
                <w:rFonts w:ascii="宋体" w:hAnsi="宋体" w:cs="宋体"/>
                <w:sz w:val="24"/>
                <w:szCs w:val="21"/>
                <w:u w:val="single"/>
              </w:rPr>
            </w:pPr>
            <w:r>
              <w:rPr>
                <w:rFonts w:hint="eastAsia" w:ascii="宋体" w:hAnsi="宋体" w:cs="宋体"/>
                <w:sz w:val="24"/>
                <w:szCs w:val="21"/>
                <w:u w:val="single"/>
              </w:rPr>
              <w:t>（</w:t>
            </w:r>
            <w:r>
              <w:rPr>
                <w:rFonts w:ascii="宋体" w:hAnsi="宋体" w:cs="宋体"/>
                <w:sz w:val="24"/>
                <w:szCs w:val="21"/>
                <w:u w:val="single"/>
              </w:rPr>
              <w:t>GB8978-1996</w:t>
            </w:r>
            <w:r>
              <w:rPr>
                <w:rFonts w:hint="eastAsia" w:ascii="宋体" w:hAnsi="宋体" w:cs="宋体"/>
                <w:sz w:val="24"/>
                <w:szCs w:val="21"/>
                <w:u w:val="single"/>
              </w:rPr>
              <w:t>）中</w:t>
            </w:r>
          </w:p>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5" w:type="dxa"/>
            <w:vMerge w:val="continue"/>
            <w:vAlign w:val="center"/>
          </w:tcPr>
          <w:p>
            <w:pPr>
              <w:snapToGrid w:val="0"/>
              <w:spacing w:line="360" w:lineRule="exact"/>
              <w:jc w:val="center"/>
              <w:rPr>
                <w:rFonts w:ascii="Times New Roman" w:hAnsi="Times New Roman" w:eastAsia="宋体" w:cs="Times New Roman"/>
                <w:sz w:val="24"/>
                <w:u w:val="single"/>
              </w:rPr>
            </w:pPr>
          </w:p>
        </w:tc>
        <w:tc>
          <w:tcPr>
            <w:tcW w:w="1748" w:type="dxa"/>
            <w:tcBorders>
              <w:top w:val="single" w:color="000000" w:sz="2" w:space="0"/>
            </w:tcBorders>
            <w:vAlign w:val="center"/>
          </w:tcPr>
          <w:p>
            <w:pPr>
              <w:adjustRightInd w:val="0"/>
              <w:snapToGrid w:val="0"/>
              <w:jc w:val="center"/>
              <w:rPr>
                <w:rFonts w:ascii="Times New Roman" w:hAnsi="Times New Roman" w:eastAsia="宋体" w:cs="Times New Roman"/>
                <w:kern w:val="21"/>
                <w:sz w:val="24"/>
                <w:u w:val="single"/>
              </w:rPr>
            </w:pPr>
            <w:r>
              <w:rPr>
                <w:rFonts w:hint="eastAsia" w:ascii="宋体" w:hAnsi="宋体" w:cs="宋体"/>
                <w:sz w:val="24"/>
                <w:szCs w:val="21"/>
                <w:u w:val="single"/>
              </w:rPr>
              <w:t>初期雨水、地面清洗废水</w:t>
            </w:r>
          </w:p>
        </w:tc>
        <w:tc>
          <w:tcPr>
            <w:tcW w:w="1035" w:type="dxa"/>
            <w:tcBorders>
              <w:top w:val="single" w:color="000000" w:sz="2" w:space="0"/>
            </w:tcBorders>
            <w:vAlign w:val="center"/>
          </w:tcPr>
          <w:p>
            <w:pPr>
              <w:adjustRightInd w:val="0"/>
              <w:snapToGrid w:val="0"/>
              <w:jc w:val="center"/>
              <w:rPr>
                <w:rFonts w:ascii="Times New Roman" w:hAnsi="Times New Roman" w:eastAsia="宋体" w:cs="Times New Roman"/>
                <w:kern w:val="21"/>
                <w:sz w:val="24"/>
                <w:u w:val="single"/>
              </w:rPr>
            </w:pPr>
            <w:r>
              <w:rPr>
                <w:rFonts w:hint="eastAsia" w:ascii="宋体" w:hAnsi="宋体" w:cs="宋体"/>
                <w:sz w:val="24"/>
                <w:szCs w:val="21"/>
                <w:u w:val="single"/>
              </w:rPr>
              <w:t>SS、石油类</w:t>
            </w:r>
          </w:p>
        </w:tc>
        <w:tc>
          <w:tcPr>
            <w:tcW w:w="1635" w:type="dxa"/>
            <w:tcBorders>
              <w:top w:val="single" w:color="000000" w:sz="2" w:space="0"/>
            </w:tcBorders>
            <w:vAlign w:val="center"/>
          </w:tcPr>
          <w:p>
            <w:pPr>
              <w:adjustRightInd w:val="0"/>
              <w:snapToGrid w:val="0"/>
              <w:jc w:val="center"/>
              <w:rPr>
                <w:rFonts w:ascii="Times New Roman" w:hAnsi="Times New Roman" w:eastAsia="宋体" w:cs="Times New Roman"/>
                <w:bCs/>
                <w:sz w:val="24"/>
                <w:u w:val="single"/>
              </w:rPr>
            </w:pPr>
            <w:r>
              <w:rPr>
                <w:rFonts w:hint="eastAsia" w:ascii="宋体" w:hAnsi="宋体" w:cs="宋体"/>
                <w:sz w:val="24"/>
                <w:szCs w:val="21"/>
                <w:u w:val="single"/>
              </w:rPr>
              <w:t>隔油</w:t>
            </w:r>
            <w:r>
              <w:rPr>
                <w:rFonts w:hint="eastAsia" w:ascii="宋体" w:hAnsi="宋体" w:cs="宋体"/>
                <w:sz w:val="24"/>
                <w:szCs w:val="21"/>
                <w:u w:val="single"/>
                <w:lang w:val="en-US" w:eastAsia="zh-CN"/>
              </w:rPr>
              <w:t>+</w:t>
            </w:r>
            <w:r>
              <w:rPr>
                <w:rFonts w:hint="eastAsia" w:ascii="宋体" w:hAnsi="宋体" w:cs="宋体"/>
                <w:sz w:val="24"/>
                <w:szCs w:val="21"/>
                <w:u w:val="single"/>
              </w:rPr>
              <w:t>均质</w:t>
            </w:r>
            <w:r>
              <w:rPr>
                <w:rFonts w:hint="eastAsia" w:ascii="宋体" w:hAnsi="宋体" w:cs="宋体"/>
                <w:sz w:val="24"/>
                <w:szCs w:val="21"/>
                <w:u w:val="single"/>
                <w:lang w:val="en-US" w:eastAsia="zh-CN"/>
              </w:rPr>
              <w:t>+</w:t>
            </w:r>
            <w:r>
              <w:rPr>
                <w:rFonts w:hint="eastAsia" w:ascii="宋体" w:hAnsi="宋体" w:cs="宋体"/>
                <w:sz w:val="24"/>
                <w:szCs w:val="21"/>
                <w:u w:val="single"/>
              </w:rPr>
              <w:t>絮凝沉淀</w:t>
            </w:r>
            <w:r>
              <w:rPr>
                <w:rFonts w:hint="eastAsia" w:ascii="宋体" w:hAnsi="宋体" w:cs="宋体"/>
                <w:sz w:val="24"/>
                <w:szCs w:val="21"/>
                <w:u w:val="single"/>
                <w:lang w:val="en-US" w:eastAsia="zh-CN"/>
              </w:rPr>
              <w:t>+</w:t>
            </w:r>
            <w:r>
              <w:rPr>
                <w:rFonts w:hint="eastAsia" w:ascii="宋体" w:hAnsi="宋体" w:cs="宋体"/>
                <w:sz w:val="24"/>
                <w:szCs w:val="21"/>
                <w:u w:val="single"/>
              </w:rPr>
              <w:t>气浮处理后</w:t>
            </w:r>
          </w:p>
        </w:tc>
        <w:tc>
          <w:tcPr>
            <w:tcW w:w="3107" w:type="dxa"/>
            <w:tcBorders>
              <w:top w:val="single" w:color="000000" w:sz="2" w:space="0"/>
            </w:tcBorders>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声环境</w:t>
            </w:r>
          </w:p>
        </w:tc>
        <w:tc>
          <w:tcPr>
            <w:tcW w:w="1748" w:type="dxa"/>
            <w:vAlign w:val="center"/>
          </w:tcPr>
          <w:p>
            <w:pPr>
              <w:adjustRightInd w:val="0"/>
              <w:snapToGrid w:val="0"/>
              <w:jc w:val="center"/>
              <w:rPr>
                <w:rFonts w:ascii="宋体" w:hAnsi="宋体" w:cs="宋体"/>
                <w:sz w:val="24"/>
                <w:szCs w:val="21"/>
                <w:u w:val="single"/>
              </w:rPr>
            </w:pPr>
            <w:r>
              <w:rPr>
                <w:rFonts w:hint="eastAsia" w:ascii="宋体" w:hAnsi="宋体" w:cs="宋体"/>
                <w:sz w:val="24"/>
                <w:szCs w:val="21"/>
                <w:u w:val="single"/>
              </w:rPr>
              <w:t>拆解车间</w:t>
            </w:r>
          </w:p>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（生产设备）</w:t>
            </w:r>
          </w:p>
        </w:tc>
        <w:tc>
          <w:tcPr>
            <w:tcW w:w="1035" w:type="dxa"/>
            <w:vAlign w:val="center"/>
          </w:tcPr>
          <w:p>
            <w:pPr>
              <w:jc w:val="center"/>
              <w:rPr>
                <w:rFonts w:ascii="Times New Roman" w:hAnsi="Times New Roman" w:eastAsia="宋体" w:cs="Times New Roman"/>
                <w:sz w:val="24"/>
                <w:u w:val="single"/>
              </w:rPr>
            </w:pPr>
            <w:r>
              <w:rPr>
                <w:rFonts w:hint="eastAsia" w:ascii="宋体" w:hAnsi="宋体"/>
                <w:sz w:val="24"/>
                <w:szCs w:val="21"/>
                <w:u w:val="single"/>
              </w:rPr>
              <w:t>连续等效A声级</w:t>
            </w:r>
          </w:p>
        </w:tc>
        <w:tc>
          <w:tcPr>
            <w:tcW w:w="1635" w:type="dxa"/>
            <w:vAlign w:val="center"/>
          </w:tcPr>
          <w:p>
            <w:pPr>
              <w:adjustRightInd w:val="0"/>
              <w:snapToGrid w:val="0"/>
              <w:jc w:val="center"/>
              <w:rPr>
                <w:rFonts w:ascii="Times New Roman" w:hAnsi="Times New Roman" w:eastAsia="宋体" w:cs="Times New Roman"/>
                <w:sz w:val="24"/>
                <w:u w:val="single"/>
              </w:rPr>
            </w:pPr>
            <w:r>
              <w:rPr>
                <w:rFonts w:hint="eastAsia" w:ascii="宋体" w:hAnsi="宋体" w:cs="宋体"/>
                <w:sz w:val="24"/>
                <w:szCs w:val="21"/>
                <w:u w:val="single"/>
              </w:rPr>
              <w:t>安装基础减振、采取车间隔声等降噪措施</w:t>
            </w:r>
          </w:p>
        </w:tc>
        <w:tc>
          <w:tcPr>
            <w:tcW w:w="3107" w:type="dxa"/>
            <w:vAlign w:val="center"/>
          </w:tcPr>
          <w:p>
            <w:pPr>
              <w:snapToGrid w:val="0"/>
              <w:spacing w:line="360" w:lineRule="exact"/>
              <w:jc w:val="center"/>
              <w:rPr>
                <w:rFonts w:ascii="Times New Roman" w:hAnsi="Times New Roman" w:eastAsia="宋体" w:cs="Times New Roman"/>
                <w:kern w:val="21"/>
                <w:sz w:val="24"/>
                <w:u w:val="single"/>
              </w:rPr>
            </w:pPr>
            <w:r>
              <w:rPr>
                <w:rFonts w:ascii="Times New Roman" w:hAnsi="Times New Roman" w:eastAsia="宋体" w:cs="Times New Roman"/>
                <w:kern w:val="21"/>
                <w:sz w:val="24"/>
                <w:u w:val="single"/>
              </w:rPr>
              <w:t>满足《工业企业厂界环境噪声排放标准》（GB12348-2008）中</w:t>
            </w:r>
          </w:p>
          <w:p>
            <w:pPr>
              <w:snapToGrid w:val="0"/>
              <w:spacing w:line="360" w:lineRule="exact"/>
              <w:jc w:val="center"/>
              <w:rPr>
                <w:rFonts w:ascii="Times New Roman" w:hAnsi="Times New Roman" w:eastAsia="宋体" w:cs="Times New Roman"/>
                <w:sz w:val="24"/>
                <w:u w:val="single"/>
              </w:rPr>
            </w:pPr>
            <w:r>
              <w:rPr>
                <w:rFonts w:hint="eastAsia" w:ascii="Times New Roman" w:hAnsi="Times New Roman" w:eastAsia="宋体" w:cs="Times New Roman"/>
                <w:kern w:val="21"/>
                <w:sz w:val="24"/>
                <w:u w:val="single"/>
              </w:rPr>
              <w:t>3</w:t>
            </w:r>
            <w:r>
              <w:rPr>
                <w:rFonts w:ascii="Times New Roman" w:hAnsi="Times New Roman" w:eastAsia="宋体" w:cs="Times New Roman"/>
                <w:kern w:val="21"/>
                <w:sz w:val="24"/>
                <w:u w:val="singl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5"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电磁辐射</w:t>
            </w:r>
          </w:p>
        </w:tc>
        <w:tc>
          <w:tcPr>
            <w:tcW w:w="1748"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w:t>
            </w:r>
          </w:p>
        </w:tc>
        <w:tc>
          <w:tcPr>
            <w:tcW w:w="1035"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w:t>
            </w:r>
          </w:p>
        </w:tc>
        <w:tc>
          <w:tcPr>
            <w:tcW w:w="1635"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w:t>
            </w:r>
          </w:p>
        </w:tc>
        <w:tc>
          <w:tcPr>
            <w:tcW w:w="3107" w:type="dxa"/>
            <w:vAlign w:val="center"/>
          </w:tcPr>
          <w:p>
            <w:pPr>
              <w:snapToGrid w:val="0"/>
              <w:spacing w:line="360" w:lineRule="exact"/>
              <w:jc w:val="center"/>
              <w:rPr>
                <w:rFonts w:ascii="Times New Roman" w:hAnsi="Times New Roman" w:eastAsia="宋体" w:cs="Times New Roman"/>
                <w:sz w:val="24"/>
                <w:u w:val="single"/>
              </w:rPr>
            </w:pPr>
            <w:r>
              <w:rPr>
                <w:rFonts w:ascii="Times New Roman" w:hAnsi="Times New Roman" w:eastAsia="宋体" w:cs="Times New Roman"/>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固体废物</w:t>
            </w:r>
          </w:p>
        </w:tc>
        <w:tc>
          <w:tcPr>
            <w:tcW w:w="7525" w:type="dxa"/>
            <w:gridSpan w:val="4"/>
            <w:vAlign w:val="center"/>
          </w:tcPr>
          <w:p>
            <w:pPr>
              <w:adjustRightInd w:val="0"/>
              <w:snapToGrid w:val="0"/>
              <w:spacing w:line="360" w:lineRule="auto"/>
              <w:jc w:val="left"/>
              <w:rPr>
                <w:rFonts w:ascii="宋体" w:hAnsi="宋体" w:cs="宋体"/>
                <w:sz w:val="24"/>
                <w:szCs w:val="21"/>
                <w:u w:val="single"/>
              </w:rPr>
            </w:pPr>
            <w:r>
              <w:rPr>
                <w:rFonts w:hint="eastAsia" w:ascii="宋体" w:hAnsi="宋体" w:cs="宋体"/>
                <w:sz w:val="24"/>
                <w:szCs w:val="21"/>
                <w:u w:val="single"/>
              </w:rPr>
              <w:t>①生活垃圾暂存于垃圾桶，含油抹布和手套全过程不按危险废物管理</w:t>
            </w:r>
            <w:r>
              <w:rPr>
                <w:rFonts w:hint="eastAsia" w:ascii="宋体" w:hAnsi="宋体" w:cs="宋体"/>
                <w:sz w:val="24"/>
                <w:szCs w:val="21"/>
                <w:u w:val="single"/>
                <w:lang w:eastAsia="zh-CN"/>
              </w:rPr>
              <w:t>，可直接与生活垃圾一起暂存</w:t>
            </w:r>
            <w:r>
              <w:rPr>
                <w:rFonts w:hint="eastAsia" w:ascii="宋体" w:hAnsi="宋体" w:cs="宋体"/>
                <w:sz w:val="24"/>
                <w:szCs w:val="21"/>
                <w:u w:val="single"/>
              </w:rPr>
              <w:t>，</w:t>
            </w:r>
            <w:r>
              <w:rPr>
                <w:rFonts w:hint="eastAsia" w:ascii="宋体" w:hAnsi="宋体" w:cs="宋体"/>
                <w:sz w:val="24"/>
                <w:szCs w:val="21"/>
                <w:u w:val="single"/>
                <w:lang w:eastAsia="zh-CN"/>
              </w:rPr>
              <w:t>定期</w:t>
            </w:r>
            <w:r>
              <w:rPr>
                <w:rFonts w:hint="eastAsia" w:ascii="宋体" w:hAnsi="宋体" w:cs="宋体"/>
                <w:sz w:val="24"/>
                <w:szCs w:val="21"/>
                <w:u w:val="single"/>
              </w:rPr>
              <w:t>交环卫部门处理；</w:t>
            </w:r>
          </w:p>
          <w:p>
            <w:pPr>
              <w:adjustRightInd w:val="0"/>
              <w:snapToGrid w:val="0"/>
              <w:spacing w:line="360" w:lineRule="auto"/>
              <w:jc w:val="left"/>
              <w:rPr>
                <w:rFonts w:ascii="宋体" w:hAnsi="宋体" w:cs="宋体"/>
                <w:sz w:val="24"/>
                <w:szCs w:val="21"/>
                <w:u w:val="single"/>
              </w:rPr>
            </w:pPr>
            <w:r>
              <w:rPr>
                <w:rFonts w:hint="eastAsia" w:ascii="宋体" w:hAnsi="宋体" w:cs="宋体"/>
                <w:sz w:val="24"/>
                <w:szCs w:val="21"/>
                <w:u w:val="single"/>
              </w:rPr>
              <w:t>②废机油、剩余燃油、废防冻剂、制动液、废油箱、废尾气净化装置、废机油滤清器、</w:t>
            </w:r>
            <w:r>
              <w:rPr>
                <w:rFonts w:hint="eastAsia" w:ascii="宋体" w:hAnsi="宋体" w:cs="宋体"/>
                <w:sz w:val="24"/>
                <w:szCs w:val="21"/>
                <w:u w:val="single"/>
                <w:lang w:eastAsia="zh-CN"/>
              </w:rPr>
              <w:t>废蓄电池、</w:t>
            </w:r>
            <w:r>
              <w:rPr>
                <w:rFonts w:hint="eastAsia" w:ascii="宋体" w:hAnsi="宋体" w:cs="宋体"/>
                <w:sz w:val="24"/>
                <w:szCs w:val="21"/>
                <w:u w:val="single"/>
              </w:rPr>
              <w:t>含汞开关、电路板、电容器、废活性炭、含油污泥、分类贮存于危险废物暂存间，交有资质单位进行处理；</w:t>
            </w:r>
          </w:p>
          <w:p>
            <w:pPr>
              <w:spacing w:line="360" w:lineRule="exact"/>
              <w:rPr>
                <w:rFonts w:ascii="Times New Roman" w:hAnsi="Times New Roman" w:cs="Times New Roman"/>
                <w:sz w:val="24"/>
                <w:u w:val="single"/>
              </w:rPr>
            </w:pPr>
            <w:r>
              <w:rPr>
                <w:rFonts w:hint="eastAsia" w:ascii="宋体" w:hAnsi="宋体" w:cs="宋体"/>
                <w:sz w:val="24"/>
                <w:szCs w:val="21"/>
                <w:u w:val="single"/>
              </w:rPr>
              <w:t>③毁形总成、废橡胶、废玻璃、钢铁、零部件、有色金属、废塑料、纤维、皮革等外售下游回收处理单位；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土壤及地下水污染防治措施</w:t>
            </w:r>
          </w:p>
        </w:tc>
        <w:tc>
          <w:tcPr>
            <w:tcW w:w="7525" w:type="dxa"/>
            <w:gridSpan w:val="4"/>
            <w:vAlign w:val="center"/>
          </w:tcPr>
          <w:p>
            <w:pPr>
              <w:adjustRightInd w:val="0"/>
              <w:snapToGrid w:val="0"/>
              <w:spacing w:line="360" w:lineRule="auto"/>
              <w:ind w:firstLine="482" w:firstLineChars="200"/>
              <w:jc w:val="left"/>
              <w:rPr>
                <w:b/>
                <w:bCs/>
                <w:sz w:val="24"/>
                <w:u w:val="single"/>
              </w:rPr>
            </w:pPr>
            <w:r>
              <w:rPr>
                <w:rFonts w:hint="eastAsia"/>
                <w:b/>
                <w:bCs/>
                <w:sz w:val="24"/>
                <w:u w:val="single"/>
              </w:rPr>
              <w:t>分区防控措施：</w:t>
            </w:r>
          </w:p>
          <w:p>
            <w:pPr>
              <w:adjustRightInd w:val="0"/>
              <w:snapToGrid w:val="0"/>
              <w:spacing w:line="360" w:lineRule="auto"/>
              <w:ind w:firstLine="495"/>
              <w:jc w:val="left"/>
              <w:rPr>
                <w:rFonts w:ascii="宋体" w:hAnsi="宋体" w:cs="宋体"/>
                <w:sz w:val="24"/>
                <w:u w:val="single"/>
              </w:rPr>
            </w:pPr>
            <w:r>
              <w:rPr>
                <w:rFonts w:hint="eastAsia" w:ascii="宋体" w:hAnsi="宋体" w:cs="宋体"/>
                <w:sz w:val="24"/>
                <w:u w:val="single"/>
              </w:rPr>
              <w:t>①重点防渗区：</w:t>
            </w:r>
            <w:r>
              <w:rPr>
                <w:rFonts w:hint="eastAsia"/>
                <w:sz w:val="24"/>
                <w:szCs w:val="24"/>
                <w:u w:val="single"/>
              </w:rPr>
              <w:t>废机油收储</w:t>
            </w:r>
            <w:r>
              <w:rPr>
                <w:rFonts w:hint="eastAsia"/>
                <w:sz w:val="24"/>
                <w:szCs w:val="24"/>
                <w:u w:val="single"/>
                <w:lang w:eastAsia="zh-CN"/>
              </w:rPr>
              <w:t>车</w:t>
            </w:r>
            <w:r>
              <w:rPr>
                <w:rFonts w:hint="eastAsia"/>
                <w:sz w:val="24"/>
                <w:szCs w:val="24"/>
                <w:u w:val="single"/>
              </w:rPr>
              <w:t>间</w:t>
            </w:r>
            <w:r>
              <w:rPr>
                <w:rFonts w:hint="eastAsia"/>
                <w:sz w:val="24"/>
                <w:szCs w:val="24"/>
                <w:u w:val="single"/>
                <w:lang w:eastAsia="zh-CN"/>
              </w:rPr>
              <w:t>（又称危废间）</w:t>
            </w:r>
            <w:r>
              <w:rPr>
                <w:rFonts w:hint="eastAsia" w:ascii="宋体" w:hAnsi="宋体" w:cs="宋体"/>
                <w:sz w:val="24"/>
                <w:u w:val="single"/>
              </w:rPr>
              <w:t>、拆解车间、防渗沉淀池等，防渗技术要求为等效粘土防渗层Mb≥6.0m，K≤1×10</w:t>
            </w:r>
            <w:r>
              <w:rPr>
                <w:rFonts w:hint="eastAsia" w:ascii="宋体" w:hAnsi="宋体" w:cs="宋体"/>
                <w:sz w:val="24"/>
                <w:u w:val="single"/>
                <w:vertAlign w:val="superscript"/>
              </w:rPr>
              <w:t>-7</w:t>
            </w:r>
            <w:r>
              <w:rPr>
                <w:rFonts w:hint="eastAsia" w:ascii="宋体" w:hAnsi="宋体" w:cs="宋体"/>
                <w:sz w:val="24"/>
                <w:u w:val="single"/>
              </w:rPr>
              <w:t>cm/s，或参照GB18598执行；</w:t>
            </w:r>
            <w:r>
              <w:rPr>
                <w:rFonts w:hint="eastAsia"/>
                <w:sz w:val="24"/>
                <w:szCs w:val="24"/>
                <w:u w:val="single"/>
              </w:rPr>
              <w:t>危废间内的废油液储区分别设置围堰，围堰高度不低于0.15m；</w:t>
            </w:r>
            <w:r>
              <w:rPr>
                <w:rFonts w:hint="eastAsia" w:ascii="宋体" w:hAnsi="宋体" w:cs="宋体"/>
                <w:sz w:val="24"/>
                <w:u w:val="single"/>
              </w:rPr>
              <w:t>②一般防渗区：存车场等，防渗技术要求为等效粘土防渗层Mb≥1.5m，K≤1×10</w:t>
            </w:r>
            <w:r>
              <w:rPr>
                <w:rFonts w:hint="eastAsia" w:ascii="宋体" w:hAnsi="宋体" w:cs="宋体"/>
                <w:sz w:val="24"/>
                <w:u w:val="single"/>
                <w:vertAlign w:val="superscript"/>
              </w:rPr>
              <w:t>-7</w:t>
            </w:r>
            <w:r>
              <w:rPr>
                <w:rFonts w:hint="eastAsia" w:ascii="宋体" w:hAnsi="宋体" w:cs="宋体"/>
                <w:sz w:val="24"/>
                <w:u w:val="single"/>
              </w:rPr>
              <w:t>cm/s，或参照GB16889执行；</w:t>
            </w:r>
          </w:p>
          <w:p>
            <w:pPr>
              <w:adjustRightInd w:val="0"/>
              <w:snapToGrid w:val="0"/>
              <w:spacing w:line="360" w:lineRule="auto"/>
              <w:ind w:firstLine="480" w:firstLineChars="200"/>
              <w:jc w:val="left"/>
              <w:rPr>
                <w:u w:val="single"/>
              </w:rPr>
            </w:pPr>
            <w:r>
              <w:rPr>
                <w:rFonts w:hint="eastAsia" w:ascii="宋体" w:hAnsi="宋体" w:cs="宋体"/>
                <w:color w:val="000000" w:themeColor="text1"/>
                <w:sz w:val="24"/>
                <w:u w:val="single"/>
              </w:rPr>
              <w:t>③简单防渗区：库</w:t>
            </w:r>
            <w:r>
              <w:rPr>
                <w:rFonts w:hint="eastAsia" w:ascii="宋体" w:hAnsi="宋体" w:cs="宋体"/>
                <w:color w:val="000000" w:themeColor="text1"/>
                <w:sz w:val="24"/>
                <w:u w:val="single"/>
                <w:lang w:eastAsia="zh-CN"/>
              </w:rPr>
              <w:t>房</w:t>
            </w:r>
            <w:r>
              <w:rPr>
                <w:rFonts w:hint="eastAsia" w:ascii="宋体" w:hAnsi="宋体" w:cs="宋体"/>
                <w:color w:val="000000" w:themeColor="text1"/>
                <w:sz w:val="24"/>
                <w:u w:val="single"/>
              </w:rPr>
              <w:t>、办公室等区域，一般地面硬化处理</w:t>
            </w:r>
            <w:r>
              <w:rPr>
                <w:rFonts w:hint="eastAsia" w:ascii="宋体" w:hAnsi="宋体" w:cs="宋体"/>
                <w:color w:val="000000" w:themeColor="text1"/>
                <w:sz w:val="24"/>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195" w:type="dxa"/>
            <w:vAlign w:val="center"/>
          </w:tcPr>
          <w:p>
            <w:pPr>
              <w:pStyle w:val="2"/>
              <w:snapToGrid w:val="0"/>
              <w:spacing w:line="240" w:lineRule="auto"/>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生态保护措施</w:t>
            </w:r>
          </w:p>
        </w:tc>
        <w:tc>
          <w:tcPr>
            <w:tcW w:w="7525" w:type="dxa"/>
            <w:gridSpan w:val="4"/>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环境风险防范措施</w:t>
            </w:r>
          </w:p>
        </w:tc>
        <w:tc>
          <w:tcPr>
            <w:tcW w:w="7525" w:type="dxa"/>
            <w:gridSpan w:val="4"/>
            <w:vAlign w:val="center"/>
          </w:tcPr>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①遵守国家有关防火防爆规定，配备消防设施；</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②危险废物分类收集，危废间暂存，交有资质单位处理；</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③加强工作人员安全生产管理培训；</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④加强厂房排风；</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⑤选择合理运输路线；</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⑥完善危险废物暂存间，拆解车间等防渗区的防渗工程；</w:t>
            </w:r>
          </w:p>
          <w:p>
            <w:pPr>
              <w:adjustRightInd w:val="0"/>
              <w:snapToGrid w:val="0"/>
              <w:spacing w:line="360" w:lineRule="auto"/>
              <w:rPr>
                <w:rFonts w:ascii="宋体" w:hAnsi="宋体" w:cs="宋体"/>
                <w:sz w:val="24"/>
                <w:szCs w:val="21"/>
                <w:u w:val="single"/>
              </w:rPr>
            </w:pPr>
            <w:r>
              <w:rPr>
                <w:rFonts w:hint="eastAsia" w:ascii="宋体" w:hAnsi="宋体" w:cs="宋体"/>
                <w:sz w:val="24"/>
                <w:szCs w:val="21"/>
                <w:u w:val="single"/>
              </w:rPr>
              <w:t>⑦危废间废油液储存区设置围堰，拆解车间设置围堰，厂区地面进行防渗。</w:t>
            </w:r>
          </w:p>
          <w:p>
            <w:pPr>
              <w:pStyle w:val="2"/>
              <w:snapToGrid w:val="0"/>
              <w:spacing w:line="360" w:lineRule="exact"/>
              <w:ind w:firstLine="0" w:firstLineChars="0"/>
              <w:rPr>
                <w:rFonts w:ascii="Times New Roman" w:hAnsi="Times New Roman" w:eastAsia="宋体" w:cs="Times New Roman"/>
                <w:color w:val="auto"/>
                <w:sz w:val="24"/>
                <w:szCs w:val="24"/>
                <w:u w:val="single"/>
              </w:rPr>
            </w:pPr>
            <w:r>
              <w:rPr>
                <w:rFonts w:hint="eastAsia"/>
                <w:color w:val="000000" w:themeColor="text1"/>
                <w:sz w:val="24"/>
                <w:szCs w:val="21"/>
                <w:u w:val="single"/>
              </w:rPr>
              <w:t>⑧编制环境污染突发事件应急预案。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其他环境管理要求</w:t>
            </w:r>
          </w:p>
        </w:tc>
        <w:tc>
          <w:tcPr>
            <w:tcW w:w="7525" w:type="dxa"/>
            <w:gridSpan w:val="4"/>
            <w:vAlign w:val="center"/>
          </w:tcPr>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p>
          <w:p>
            <w:pPr>
              <w:adjustRightInd w:val="0"/>
              <w:snapToGrid w:val="0"/>
              <w:spacing w:line="360" w:lineRule="auto"/>
              <w:ind w:firstLine="482"/>
              <w:rPr>
                <w:sz w:val="24"/>
                <w:u w:val="single"/>
              </w:rPr>
            </w:pPr>
            <w:r>
              <w:rPr>
                <w:sz w:val="24"/>
                <w:u w:val="single"/>
              </w:rPr>
              <w:t>根据2017年10月1日起施行《国务院关于修改&lt;建设项目环境保护管理条例&gt;的决定》中规定，建设项目需要配套建设的环境保护设施，必须与主体工程同时设计、同时施工、同时投产使用。环保部2017年11月关于发布《建设项目竣工环境保护验收暂行办法》的公告（国环规环评[2017]4号）：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adjustRightInd w:val="0"/>
              <w:snapToGrid w:val="0"/>
              <w:spacing w:line="360" w:lineRule="auto"/>
              <w:ind w:firstLine="482"/>
              <w:rPr>
                <w:sz w:val="24"/>
                <w:u w:val="single"/>
              </w:rPr>
            </w:pPr>
            <w:r>
              <w:rPr>
                <w:sz w:val="24"/>
                <w:u w:val="single"/>
              </w:rPr>
              <w:t>建设项目竣工后，建设单位应当如实查验、监测、记载建设项目环境保护设施的建设和调试情况，编制验收监测（调查）报告。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adjustRightInd w:val="0"/>
              <w:snapToGrid w:val="0"/>
              <w:spacing w:line="360" w:lineRule="auto"/>
              <w:ind w:firstLine="482"/>
              <w:rPr>
                <w:sz w:val="24"/>
                <w:u w:val="single"/>
              </w:rPr>
            </w:pPr>
            <w:r>
              <w:rPr>
                <w:sz w:val="24"/>
                <w:u w:val="single"/>
              </w:rPr>
              <w:t>据国务院办公厅关于印发《控制污染物排放许可制实施方案》的通知(国办发[2016]81号)中相关要求，环境影响评价制度是建设项目的环境准入门槛,排污许可是企事业单位生产运营期排污的法律依据，必须做好充分衔接，实现从污染预防到污染治理和排放控制的全过程监管。因</w:t>
            </w:r>
            <w:r>
              <w:rPr>
                <w:rFonts w:hint="eastAsia"/>
                <w:sz w:val="24"/>
                <w:u w:val="single"/>
              </w:rPr>
              <w:t>此，建设单位应在规定时间内取得排污许可证，合法排污。</w:t>
            </w: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adjustRightInd w:val="0"/>
              <w:snapToGrid w:val="0"/>
              <w:spacing w:line="360" w:lineRule="auto"/>
              <w:ind w:firstLine="482"/>
              <w:rPr>
                <w:sz w:val="24"/>
                <w:u w:val="single"/>
              </w:rPr>
            </w:pPr>
          </w:p>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p>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p>
          <w:p>
            <w:pPr>
              <w:pStyle w:val="2"/>
              <w:snapToGrid w:val="0"/>
              <w:spacing w:line="360" w:lineRule="exact"/>
              <w:ind w:firstLine="0" w:firstLineChars="0"/>
              <w:jc w:val="center"/>
              <w:rPr>
                <w:rFonts w:ascii="Times New Roman" w:hAnsi="Times New Roman" w:eastAsia="宋体" w:cs="Times New Roman"/>
                <w:color w:val="auto"/>
                <w:sz w:val="24"/>
                <w:szCs w:val="24"/>
                <w:u w:val="single"/>
              </w:rPr>
            </w:pPr>
          </w:p>
        </w:tc>
      </w:tr>
    </w:tbl>
    <w:p>
      <w:pPr>
        <w:pStyle w:val="2"/>
        <w:ind w:firstLine="0" w:firstLineChars="0"/>
        <w:jc w:val="center"/>
        <w:outlineLvl w:val="0"/>
        <w:rPr>
          <w:rFonts w:ascii="Times New Roman" w:hAnsi="Times New Roman" w:eastAsia="宋体" w:cs="Times New Roman"/>
          <w:b/>
          <w:bCs/>
          <w:highlight w:val="yellow"/>
        </w:rPr>
      </w:pPr>
      <w:r>
        <w:rPr>
          <w:rFonts w:ascii="Times New Roman" w:hAnsi="Times New Roman" w:eastAsia="宋体" w:cs="Times New Roman"/>
          <w:color w:val="auto"/>
          <w:sz w:val="30"/>
          <w:szCs w:val="30"/>
          <w:highlight w:val="yellow"/>
        </w:rPr>
        <w:br w:type="column"/>
      </w:r>
      <w:r>
        <w:rPr>
          <w:rFonts w:ascii="Times New Roman" w:hAnsi="Times New Roman" w:eastAsia="宋体" w:cs="Times New Roman"/>
          <w:b/>
          <w:bCs/>
          <w:color w:val="auto"/>
          <w:sz w:val="30"/>
          <w:szCs w:val="30"/>
        </w:rPr>
        <w:t>六、结论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napToGrid w:val="0"/>
              <w:spacing w:line="360" w:lineRule="auto"/>
              <w:ind w:firstLine="480" w:firstLineChars="200"/>
              <w:rPr>
                <w:rFonts w:ascii="Times New Roman" w:hAnsi="Times New Roman" w:cs="Times New Roman"/>
                <w:sz w:val="24"/>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本项目建设符合国家产业政策，项目产生的污染物经采取各种有效的污染治理措施后，各污染物排放可满足相应的标准要求。</w:t>
            </w:r>
          </w:p>
          <w:p>
            <w:pPr>
              <w:pStyle w:val="2"/>
              <w:snapToGrid w:val="0"/>
              <w:spacing w:line="360" w:lineRule="auto"/>
              <w:ind w:firstLine="480"/>
              <w:rPr>
                <w:rFonts w:ascii="Times New Roman" w:hAnsi="Times New Roman" w:eastAsia="宋体" w:cs="Times New Roman"/>
                <w:color w:val="auto"/>
                <w:sz w:val="24"/>
              </w:rPr>
            </w:pPr>
            <w:r>
              <w:rPr>
                <w:rFonts w:ascii="Times New Roman" w:hAnsi="Times New Roman" w:cs="Times New Roman"/>
                <w:color w:val="auto"/>
                <w:sz w:val="24"/>
              </w:rPr>
              <w:t>在企业加强环境管理，落实报告提出的环保措施及确保环保设备正常运行的情况下，从环保的角度考虑，本项目建设可行。</w:t>
            </w: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3"/>
              <w:spacing w:before="62" w:after="62"/>
              <w:rPr>
                <w:rFonts w:ascii="Times New Roman" w:hAnsi="Times New Roman" w:eastAsia="宋体" w:cs="Times New Roman"/>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p>
            <w:pPr>
              <w:pStyle w:val="2"/>
              <w:snapToGrid w:val="0"/>
              <w:spacing w:line="360" w:lineRule="auto"/>
              <w:ind w:firstLine="480"/>
              <w:rPr>
                <w:rFonts w:ascii="Times New Roman" w:hAnsi="Times New Roman" w:eastAsia="宋体" w:cs="Times New Roman"/>
                <w:color w:val="auto"/>
                <w:sz w:val="24"/>
                <w:highlight w:val="yellow"/>
              </w:rPr>
            </w:pPr>
          </w:p>
        </w:tc>
      </w:tr>
    </w:tbl>
    <w:p>
      <w:pPr>
        <w:pStyle w:val="2"/>
        <w:ind w:firstLine="0" w:firstLineChars="0"/>
        <w:rPr>
          <w:rFonts w:ascii="Times New Roman" w:hAnsi="Times New Roman" w:eastAsia="宋体" w:cs="Times New Roman"/>
          <w:highlight w:val="yellow"/>
        </w:rPr>
        <w:sectPr>
          <w:footerReference r:id="rId4" w:type="default"/>
          <w:pgSz w:w="11906" w:h="16838"/>
          <w:pgMar w:top="1701" w:right="1701" w:bottom="1701" w:left="170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ind w:firstLine="0" w:firstLineChars="0"/>
        <w:rPr>
          <w:rFonts w:ascii="Times New Roman" w:hAnsi="Times New Roman" w:eastAsia="宋体" w:cs="Times New Roman"/>
          <w:color w:val="auto"/>
          <w:u w:val="single"/>
        </w:rPr>
      </w:pPr>
      <w:r>
        <w:rPr>
          <w:rFonts w:ascii="Times New Roman" w:hAnsi="Times New Roman" w:eastAsia="宋体" w:cs="Times New Roman"/>
          <w:color w:val="auto"/>
          <w:u w:val="single"/>
        </w:rPr>
        <w:t>附表</w:t>
      </w:r>
    </w:p>
    <w:p>
      <w:pPr>
        <w:pStyle w:val="21"/>
        <w:widowControl w:val="0"/>
        <w:wordWrap w:val="0"/>
        <w:adjustRightInd w:val="0"/>
        <w:snapToGrid w:val="0"/>
        <w:spacing w:beforeAutospacing="0" w:afterAutospacing="0"/>
        <w:jc w:val="center"/>
        <w:outlineLvl w:val="0"/>
        <w:rPr>
          <w:rFonts w:ascii="方正小标宋_GBK" w:hAnsi="黑体" w:eastAsia="方正小标宋_GBK"/>
          <w:snapToGrid w:val="0"/>
          <w:sz w:val="36"/>
          <w:szCs w:val="38"/>
          <w:u w:val="single"/>
        </w:rPr>
      </w:pPr>
      <w:r>
        <w:rPr>
          <w:rFonts w:hint="eastAsia" w:ascii="方正小标宋_GBK" w:hAnsi="黑体" w:eastAsia="方正小标宋_GBK"/>
          <w:snapToGrid w:val="0"/>
          <w:sz w:val="28"/>
          <w:szCs w:val="32"/>
          <w:u w:val="single"/>
          <w:lang w:val="en-US" w:eastAsia="zh-CN"/>
        </w:rPr>
        <w:t xml:space="preserve">                                 </w:t>
      </w:r>
      <w:r>
        <w:rPr>
          <w:rFonts w:hint="eastAsia" w:ascii="方正小标宋_GBK" w:hAnsi="黑体" w:eastAsia="方正小标宋_GBK"/>
          <w:snapToGrid w:val="0"/>
          <w:sz w:val="28"/>
          <w:szCs w:val="32"/>
          <w:u w:val="single"/>
        </w:rPr>
        <w:t>建设项目污染物排放量汇总表</w:t>
      </w:r>
      <w:r>
        <w:rPr>
          <w:rFonts w:hint="eastAsia" w:ascii="方正小标宋_GBK" w:hAnsi="黑体" w:eastAsia="方正小标宋_GBK"/>
          <w:snapToGrid w:val="0"/>
          <w:sz w:val="28"/>
          <w:szCs w:val="32"/>
          <w:u w:val="single"/>
          <w:lang w:val="en-US" w:eastAsia="zh-CN"/>
        </w:rPr>
        <w:t xml:space="preserve">                        </w:t>
      </w:r>
      <w:r>
        <w:rPr>
          <w:rFonts w:hint="eastAsia" w:ascii="方正小标宋_GBK" w:hAnsi="黑体" w:eastAsia="方正小标宋_GBK"/>
          <w:snapToGrid w:val="0"/>
          <w:szCs w:val="38"/>
          <w:u w:val="single"/>
        </w:rPr>
        <w:t>单位：t/a</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46"/>
        <w:gridCol w:w="1701"/>
        <w:gridCol w:w="1417"/>
        <w:gridCol w:w="993"/>
        <w:gridCol w:w="1559"/>
        <w:gridCol w:w="1559"/>
        <w:gridCol w:w="1701"/>
        <w:gridCol w:w="1985"/>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446" w:type="dxa"/>
            <w:tcBorders>
              <w:tl2br w:val="single" w:color="auto" w:sz="4" w:space="0"/>
            </w:tcBorders>
            <w:noWrap/>
            <w:tcMar>
              <w:left w:w="28" w:type="dxa"/>
              <w:right w:w="28" w:type="dxa"/>
            </w:tcMar>
            <w:vAlign w:val="center"/>
          </w:tcPr>
          <w:p>
            <w:pPr>
              <w:pStyle w:val="55"/>
              <w:spacing w:line="240" w:lineRule="auto"/>
              <w:jc w:val="right"/>
              <w:rPr>
                <w:rFonts w:hAnsi="宋体" w:cs="宋体"/>
                <w:snapToGrid w:val="0"/>
                <w:spacing w:val="-6"/>
                <w:kern w:val="21"/>
                <w:sz w:val="21"/>
                <w:szCs w:val="21"/>
                <w:u w:val="single"/>
              </w:rPr>
            </w:pPr>
            <w:r>
              <w:rPr>
                <w:rFonts w:hint="eastAsia" w:hAnsi="宋体" w:cs="宋体"/>
                <w:snapToGrid w:val="0"/>
                <w:spacing w:val="-6"/>
                <w:kern w:val="21"/>
                <w:sz w:val="21"/>
                <w:szCs w:val="21"/>
                <w:u w:val="single"/>
              </w:rPr>
              <w:t>项目</w:t>
            </w:r>
          </w:p>
          <w:p>
            <w:pPr>
              <w:pStyle w:val="55"/>
              <w:spacing w:line="240" w:lineRule="auto"/>
              <w:ind w:firstLine="0"/>
              <w:jc w:val="left"/>
              <w:rPr>
                <w:rFonts w:hAnsi="宋体" w:cs="宋体"/>
                <w:snapToGrid w:val="0"/>
                <w:spacing w:val="-6"/>
                <w:kern w:val="21"/>
                <w:sz w:val="21"/>
                <w:szCs w:val="21"/>
                <w:u w:val="single"/>
              </w:rPr>
            </w:pPr>
            <w:r>
              <w:rPr>
                <w:rFonts w:hint="eastAsia" w:hAnsi="宋体" w:cs="宋体"/>
                <w:snapToGrid w:val="0"/>
                <w:spacing w:val="-6"/>
                <w:kern w:val="21"/>
                <w:sz w:val="21"/>
                <w:szCs w:val="21"/>
                <w:u w:val="single"/>
              </w:rPr>
              <w:t>分类</w:t>
            </w:r>
          </w:p>
        </w:tc>
        <w:tc>
          <w:tcPr>
            <w:tcW w:w="1701" w:type="dxa"/>
            <w:noWrap/>
            <w:tcMar>
              <w:left w:w="28" w:type="dxa"/>
              <w:right w:w="28" w:type="dxa"/>
            </w:tcMar>
            <w:vAlign w:val="center"/>
          </w:tcPr>
          <w:p>
            <w:pPr>
              <w:pStyle w:val="55"/>
              <w:spacing w:line="240" w:lineRule="auto"/>
              <w:ind w:firstLine="0"/>
              <w:rPr>
                <w:rFonts w:hAnsi="宋体" w:cs="宋体"/>
                <w:snapToGrid w:val="0"/>
                <w:spacing w:val="-6"/>
                <w:kern w:val="21"/>
                <w:sz w:val="21"/>
                <w:szCs w:val="21"/>
                <w:u w:val="single"/>
              </w:rPr>
            </w:pPr>
            <w:r>
              <w:rPr>
                <w:rFonts w:hint="eastAsia" w:hAnsi="宋体" w:cs="宋体"/>
                <w:snapToGrid w:val="0"/>
                <w:spacing w:val="-6"/>
                <w:kern w:val="21"/>
                <w:sz w:val="21"/>
                <w:szCs w:val="21"/>
                <w:u w:val="single"/>
              </w:rPr>
              <w:t>污染物名称</w:t>
            </w:r>
          </w:p>
        </w:tc>
        <w:tc>
          <w:tcPr>
            <w:tcW w:w="1417" w:type="dxa"/>
            <w:noWrap/>
            <w:tcMar>
              <w:left w:w="28" w:type="dxa"/>
              <w:right w:w="28" w:type="dxa"/>
            </w:tcMar>
            <w:vAlign w:val="center"/>
          </w:tcPr>
          <w:p>
            <w:pPr>
              <w:pStyle w:val="55"/>
              <w:spacing w:line="240" w:lineRule="auto"/>
              <w:ind w:firstLine="0"/>
              <w:rPr>
                <w:rFonts w:hAnsi="宋体"/>
                <w:snapToGrid w:val="0"/>
                <w:spacing w:val="-6"/>
                <w:kern w:val="21"/>
                <w:sz w:val="21"/>
                <w:szCs w:val="21"/>
                <w:u w:val="single"/>
              </w:rPr>
            </w:pPr>
            <w:r>
              <w:rPr>
                <w:rFonts w:hAnsi="宋体"/>
                <w:snapToGrid w:val="0"/>
                <w:spacing w:val="-6"/>
                <w:kern w:val="21"/>
                <w:sz w:val="21"/>
                <w:szCs w:val="21"/>
                <w:u w:val="single"/>
              </w:rPr>
              <w:t>现有工程排放量（固</w:t>
            </w:r>
            <w:r>
              <w:rPr>
                <w:rFonts w:hint="eastAsia" w:hAnsi="宋体"/>
                <w:snapToGrid w:val="0"/>
                <w:spacing w:val="-6"/>
                <w:kern w:val="21"/>
                <w:sz w:val="21"/>
                <w:szCs w:val="21"/>
                <w:u w:val="single"/>
              </w:rPr>
              <w:t>体</w:t>
            </w:r>
            <w:r>
              <w:rPr>
                <w:rFonts w:hAnsi="宋体"/>
                <w:snapToGrid w:val="0"/>
                <w:spacing w:val="-6"/>
                <w:kern w:val="21"/>
                <w:sz w:val="21"/>
                <w:szCs w:val="21"/>
                <w:u w:val="single"/>
              </w:rPr>
              <w:t>废</w:t>
            </w:r>
            <w:r>
              <w:rPr>
                <w:rFonts w:hint="eastAsia" w:hAnsi="宋体"/>
                <w:snapToGrid w:val="0"/>
                <w:spacing w:val="-6"/>
                <w:kern w:val="21"/>
                <w:sz w:val="21"/>
                <w:szCs w:val="21"/>
                <w:u w:val="single"/>
              </w:rPr>
              <w:t>物</w:t>
            </w:r>
            <w:r>
              <w:rPr>
                <w:rFonts w:hAnsi="宋体"/>
                <w:snapToGrid w:val="0"/>
                <w:spacing w:val="-6"/>
                <w:kern w:val="21"/>
                <w:sz w:val="21"/>
                <w:szCs w:val="21"/>
                <w:u w:val="single"/>
              </w:rPr>
              <w:t>产生量）</w:t>
            </w:r>
            <w:r>
              <w:rPr>
                <w:rFonts w:hAnsi="宋体"/>
                <w:snapToGrid w:val="0"/>
                <w:spacing w:val="-6"/>
                <w:kern w:val="21"/>
                <w:sz w:val="21"/>
                <w:szCs w:val="21"/>
                <w:u w:val="single"/>
              </w:rPr>
              <w:fldChar w:fldCharType="begin"/>
            </w:r>
            <w:r>
              <w:rPr>
                <w:rFonts w:hAnsi="宋体"/>
                <w:snapToGrid w:val="0"/>
                <w:spacing w:val="-6"/>
                <w:kern w:val="21"/>
                <w:sz w:val="21"/>
                <w:szCs w:val="21"/>
                <w:u w:val="single"/>
              </w:rPr>
              <w:instrText xml:space="preserve"> = 1 \* GB3 \* MERGEFORMAT </w:instrText>
            </w:r>
            <w:r>
              <w:rPr>
                <w:rFonts w:hAnsi="宋体"/>
                <w:snapToGrid w:val="0"/>
                <w:spacing w:val="-6"/>
                <w:kern w:val="21"/>
                <w:sz w:val="21"/>
                <w:szCs w:val="21"/>
                <w:u w:val="single"/>
              </w:rPr>
              <w:fldChar w:fldCharType="separate"/>
            </w:r>
            <w:r>
              <w:rPr>
                <w:rFonts w:hint="eastAsia" w:hAnsi="宋体" w:cs="宋体"/>
                <w:kern w:val="2"/>
                <w:sz w:val="21"/>
                <w:szCs w:val="21"/>
                <w:u w:val="single"/>
              </w:rPr>
              <w:t>①</w:t>
            </w:r>
            <w:r>
              <w:rPr>
                <w:rFonts w:hAnsi="宋体"/>
                <w:snapToGrid w:val="0"/>
                <w:spacing w:val="-6"/>
                <w:kern w:val="21"/>
                <w:sz w:val="21"/>
                <w:szCs w:val="21"/>
                <w:u w:val="single"/>
              </w:rPr>
              <w:fldChar w:fldCharType="end"/>
            </w:r>
          </w:p>
        </w:tc>
        <w:tc>
          <w:tcPr>
            <w:tcW w:w="993" w:type="dxa"/>
            <w:noWrap/>
            <w:tcMar>
              <w:left w:w="28" w:type="dxa"/>
              <w:right w:w="28" w:type="dxa"/>
            </w:tcMar>
            <w:vAlign w:val="center"/>
          </w:tcPr>
          <w:p>
            <w:pPr>
              <w:pStyle w:val="55"/>
              <w:spacing w:line="240" w:lineRule="auto"/>
              <w:ind w:firstLine="0"/>
              <w:rPr>
                <w:rFonts w:hAnsi="宋体"/>
                <w:snapToGrid w:val="0"/>
                <w:spacing w:val="-6"/>
                <w:kern w:val="21"/>
                <w:sz w:val="21"/>
                <w:szCs w:val="21"/>
                <w:u w:val="single"/>
              </w:rPr>
            </w:pPr>
            <w:r>
              <w:rPr>
                <w:rFonts w:hAnsi="宋体"/>
                <w:snapToGrid w:val="0"/>
                <w:spacing w:val="-6"/>
                <w:kern w:val="21"/>
                <w:sz w:val="21"/>
                <w:szCs w:val="21"/>
                <w:u w:val="single"/>
              </w:rPr>
              <w:t>现有工程许可排放量</w:t>
            </w:r>
            <w:r>
              <w:rPr>
                <w:rFonts w:hAnsi="宋体"/>
                <w:snapToGrid w:val="0"/>
                <w:spacing w:val="-6"/>
                <w:kern w:val="21"/>
                <w:sz w:val="21"/>
                <w:szCs w:val="21"/>
                <w:u w:val="single"/>
              </w:rPr>
              <w:fldChar w:fldCharType="begin"/>
            </w:r>
            <w:r>
              <w:rPr>
                <w:rFonts w:hAnsi="宋体"/>
                <w:snapToGrid w:val="0"/>
                <w:spacing w:val="-6"/>
                <w:kern w:val="21"/>
                <w:sz w:val="21"/>
                <w:szCs w:val="21"/>
                <w:u w:val="single"/>
              </w:rPr>
              <w:instrText xml:space="preserve"> = 2 \* GB3 \* MERGEFORMAT </w:instrText>
            </w:r>
            <w:r>
              <w:rPr>
                <w:rFonts w:hAnsi="宋体"/>
                <w:snapToGrid w:val="0"/>
                <w:spacing w:val="-6"/>
                <w:kern w:val="21"/>
                <w:sz w:val="21"/>
                <w:szCs w:val="21"/>
                <w:u w:val="single"/>
              </w:rPr>
              <w:fldChar w:fldCharType="separate"/>
            </w:r>
            <w:r>
              <w:rPr>
                <w:rFonts w:hint="eastAsia" w:hAnsi="宋体" w:cs="宋体"/>
                <w:snapToGrid w:val="0"/>
                <w:spacing w:val="-6"/>
                <w:kern w:val="21"/>
                <w:sz w:val="21"/>
                <w:szCs w:val="21"/>
                <w:u w:val="single"/>
              </w:rPr>
              <w:t>②</w:t>
            </w:r>
            <w:r>
              <w:rPr>
                <w:rFonts w:hAnsi="宋体"/>
                <w:snapToGrid w:val="0"/>
                <w:spacing w:val="-6"/>
                <w:kern w:val="21"/>
                <w:sz w:val="21"/>
                <w:szCs w:val="21"/>
                <w:u w:val="single"/>
              </w:rPr>
              <w:fldChar w:fldCharType="end"/>
            </w:r>
          </w:p>
        </w:tc>
        <w:tc>
          <w:tcPr>
            <w:tcW w:w="1559" w:type="dxa"/>
            <w:noWrap/>
            <w:tcMar>
              <w:left w:w="28" w:type="dxa"/>
              <w:right w:w="28" w:type="dxa"/>
            </w:tcMar>
            <w:vAlign w:val="center"/>
          </w:tcPr>
          <w:p>
            <w:pPr>
              <w:pStyle w:val="55"/>
              <w:spacing w:line="240" w:lineRule="auto"/>
              <w:ind w:firstLine="0"/>
              <w:rPr>
                <w:rFonts w:hAnsi="宋体"/>
                <w:snapToGrid w:val="0"/>
                <w:spacing w:val="-6"/>
                <w:kern w:val="21"/>
                <w:sz w:val="21"/>
                <w:szCs w:val="21"/>
                <w:u w:val="single"/>
              </w:rPr>
            </w:pPr>
            <w:r>
              <w:rPr>
                <w:rFonts w:hAnsi="宋体"/>
                <w:snapToGrid w:val="0"/>
                <w:spacing w:val="-6"/>
                <w:kern w:val="21"/>
                <w:sz w:val="21"/>
                <w:szCs w:val="21"/>
                <w:u w:val="single"/>
              </w:rPr>
              <w:t>在建工程排放量（固</w:t>
            </w:r>
            <w:r>
              <w:rPr>
                <w:rFonts w:hint="eastAsia" w:hAnsi="宋体"/>
                <w:snapToGrid w:val="0"/>
                <w:spacing w:val="-6"/>
                <w:kern w:val="21"/>
                <w:sz w:val="21"/>
                <w:szCs w:val="21"/>
                <w:u w:val="single"/>
              </w:rPr>
              <w:t>体</w:t>
            </w:r>
            <w:r>
              <w:rPr>
                <w:rFonts w:hAnsi="宋体"/>
                <w:snapToGrid w:val="0"/>
                <w:spacing w:val="-6"/>
                <w:kern w:val="21"/>
                <w:sz w:val="21"/>
                <w:szCs w:val="21"/>
                <w:u w:val="single"/>
              </w:rPr>
              <w:t>废</w:t>
            </w:r>
            <w:r>
              <w:rPr>
                <w:rFonts w:hint="eastAsia" w:hAnsi="宋体"/>
                <w:snapToGrid w:val="0"/>
                <w:spacing w:val="-6"/>
                <w:kern w:val="21"/>
                <w:sz w:val="21"/>
                <w:szCs w:val="21"/>
                <w:u w:val="single"/>
              </w:rPr>
              <w:t>物</w:t>
            </w:r>
            <w:r>
              <w:rPr>
                <w:rFonts w:hAnsi="宋体"/>
                <w:snapToGrid w:val="0"/>
                <w:spacing w:val="-6"/>
                <w:kern w:val="21"/>
                <w:sz w:val="21"/>
                <w:szCs w:val="21"/>
                <w:u w:val="single"/>
              </w:rPr>
              <w:t>产生量）</w:t>
            </w:r>
            <w:r>
              <w:rPr>
                <w:rFonts w:hAnsi="宋体"/>
                <w:snapToGrid w:val="0"/>
                <w:spacing w:val="-6"/>
                <w:kern w:val="21"/>
                <w:sz w:val="21"/>
                <w:szCs w:val="21"/>
                <w:u w:val="single"/>
              </w:rPr>
              <w:fldChar w:fldCharType="begin"/>
            </w:r>
            <w:r>
              <w:rPr>
                <w:rFonts w:hAnsi="宋体"/>
                <w:snapToGrid w:val="0"/>
                <w:spacing w:val="-6"/>
                <w:kern w:val="21"/>
                <w:sz w:val="21"/>
                <w:szCs w:val="21"/>
                <w:u w:val="single"/>
              </w:rPr>
              <w:instrText xml:space="preserve"> = 3 \* GB3 \* MERGEFORMAT </w:instrText>
            </w:r>
            <w:r>
              <w:rPr>
                <w:rFonts w:hAnsi="宋体"/>
                <w:snapToGrid w:val="0"/>
                <w:spacing w:val="-6"/>
                <w:kern w:val="21"/>
                <w:sz w:val="21"/>
                <w:szCs w:val="21"/>
                <w:u w:val="single"/>
              </w:rPr>
              <w:fldChar w:fldCharType="separate"/>
            </w:r>
            <w:r>
              <w:rPr>
                <w:rFonts w:hint="eastAsia" w:hAnsi="宋体" w:cs="宋体"/>
                <w:kern w:val="2"/>
                <w:sz w:val="21"/>
                <w:szCs w:val="21"/>
                <w:u w:val="single"/>
              </w:rPr>
              <w:t>③</w:t>
            </w:r>
            <w:r>
              <w:rPr>
                <w:rFonts w:hAnsi="宋体"/>
                <w:snapToGrid w:val="0"/>
                <w:spacing w:val="-6"/>
                <w:kern w:val="21"/>
                <w:sz w:val="21"/>
                <w:szCs w:val="21"/>
                <w:u w:val="single"/>
              </w:rPr>
              <w:fldChar w:fldCharType="end"/>
            </w:r>
          </w:p>
        </w:tc>
        <w:tc>
          <w:tcPr>
            <w:tcW w:w="1559" w:type="dxa"/>
            <w:noWrap/>
            <w:tcMar>
              <w:left w:w="28" w:type="dxa"/>
              <w:right w:w="28" w:type="dxa"/>
            </w:tcMar>
            <w:vAlign w:val="center"/>
          </w:tcPr>
          <w:p>
            <w:pPr>
              <w:pStyle w:val="55"/>
              <w:spacing w:line="240" w:lineRule="auto"/>
              <w:ind w:firstLine="0"/>
              <w:rPr>
                <w:rFonts w:hAnsi="宋体"/>
                <w:snapToGrid w:val="0"/>
                <w:spacing w:val="-6"/>
                <w:kern w:val="21"/>
                <w:sz w:val="21"/>
                <w:szCs w:val="21"/>
                <w:u w:val="single"/>
              </w:rPr>
            </w:pPr>
            <w:r>
              <w:rPr>
                <w:rFonts w:hAnsi="宋体"/>
                <w:snapToGrid w:val="0"/>
                <w:spacing w:val="-6"/>
                <w:kern w:val="21"/>
                <w:sz w:val="21"/>
                <w:szCs w:val="21"/>
                <w:u w:val="single"/>
              </w:rPr>
              <w:t>本项目排放量（固</w:t>
            </w:r>
            <w:r>
              <w:rPr>
                <w:rFonts w:hint="eastAsia" w:hAnsi="宋体"/>
                <w:snapToGrid w:val="0"/>
                <w:spacing w:val="-6"/>
                <w:kern w:val="21"/>
                <w:sz w:val="21"/>
                <w:szCs w:val="21"/>
                <w:u w:val="single"/>
              </w:rPr>
              <w:t>体</w:t>
            </w:r>
            <w:r>
              <w:rPr>
                <w:rFonts w:hAnsi="宋体"/>
                <w:snapToGrid w:val="0"/>
                <w:spacing w:val="-6"/>
                <w:kern w:val="21"/>
                <w:sz w:val="21"/>
                <w:szCs w:val="21"/>
                <w:u w:val="single"/>
              </w:rPr>
              <w:t>废</w:t>
            </w:r>
            <w:r>
              <w:rPr>
                <w:rFonts w:hint="eastAsia" w:hAnsi="宋体"/>
                <w:snapToGrid w:val="0"/>
                <w:spacing w:val="-6"/>
                <w:kern w:val="21"/>
                <w:sz w:val="21"/>
                <w:szCs w:val="21"/>
                <w:u w:val="single"/>
              </w:rPr>
              <w:t>物</w:t>
            </w:r>
            <w:r>
              <w:rPr>
                <w:rFonts w:hAnsi="宋体"/>
                <w:snapToGrid w:val="0"/>
                <w:spacing w:val="-6"/>
                <w:kern w:val="21"/>
                <w:sz w:val="21"/>
                <w:szCs w:val="21"/>
                <w:u w:val="single"/>
              </w:rPr>
              <w:t>产生量）</w:t>
            </w:r>
            <w:r>
              <w:rPr>
                <w:rFonts w:hAnsi="宋体"/>
                <w:snapToGrid w:val="0"/>
                <w:spacing w:val="-6"/>
                <w:kern w:val="21"/>
                <w:sz w:val="21"/>
                <w:szCs w:val="21"/>
                <w:u w:val="single"/>
              </w:rPr>
              <w:fldChar w:fldCharType="begin"/>
            </w:r>
            <w:r>
              <w:rPr>
                <w:rFonts w:hAnsi="宋体"/>
                <w:snapToGrid w:val="0"/>
                <w:spacing w:val="-6"/>
                <w:kern w:val="21"/>
                <w:sz w:val="21"/>
                <w:szCs w:val="21"/>
                <w:u w:val="single"/>
              </w:rPr>
              <w:instrText xml:space="preserve"> = 4 \* GB3 \* MERGEFORMAT </w:instrText>
            </w:r>
            <w:r>
              <w:rPr>
                <w:rFonts w:hAnsi="宋体"/>
                <w:snapToGrid w:val="0"/>
                <w:spacing w:val="-6"/>
                <w:kern w:val="21"/>
                <w:sz w:val="21"/>
                <w:szCs w:val="21"/>
                <w:u w:val="single"/>
              </w:rPr>
              <w:fldChar w:fldCharType="separate"/>
            </w:r>
            <w:r>
              <w:rPr>
                <w:rFonts w:hint="eastAsia" w:hAnsi="宋体" w:cs="宋体"/>
                <w:kern w:val="2"/>
                <w:sz w:val="21"/>
                <w:szCs w:val="21"/>
                <w:u w:val="single"/>
              </w:rPr>
              <w:t>④</w:t>
            </w:r>
            <w:r>
              <w:rPr>
                <w:rFonts w:hAnsi="宋体"/>
                <w:snapToGrid w:val="0"/>
                <w:spacing w:val="-6"/>
                <w:kern w:val="21"/>
                <w:sz w:val="21"/>
                <w:szCs w:val="21"/>
                <w:u w:val="single"/>
              </w:rPr>
              <w:fldChar w:fldCharType="end"/>
            </w:r>
          </w:p>
        </w:tc>
        <w:tc>
          <w:tcPr>
            <w:tcW w:w="1701" w:type="dxa"/>
            <w:noWrap/>
            <w:tcMar>
              <w:left w:w="28" w:type="dxa"/>
              <w:right w:w="28" w:type="dxa"/>
            </w:tcMar>
            <w:vAlign w:val="center"/>
          </w:tcPr>
          <w:p>
            <w:pPr>
              <w:pStyle w:val="55"/>
              <w:spacing w:line="240" w:lineRule="auto"/>
              <w:ind w:firstLine="0"/>
              <w:rPr>
                <w:rFonts w:hAnsi="宋体"/>
                <w:snapToGrid w:val="0"/>
                <w:spacing w:val="-16"/>
                <w:kern w:val="21"/>
                <w:sz w:val="21"/>
                <w:szCs w:val="21"/>
                <w:u w:val="single"/>
              </w:rPr>
            </w:pPr>
            <w:r>
              <w:rPr>
                <w:rFonts w:hAnsi="宋体"/>
                <w:snapToGrid w:val="0"/>
                <w:spacing w:val="-16"/>
                <w:kern w:val="21"/>
                <w:sz w:val="21"/>
                <w:szCs w:val="21"/>
                <w:u w:val="single"/>
              </w:rPr>
              <w:t>以新带老削减量（新建项目不填）</w:t>
            </w:r>
            <w:r>
              <w:rPr>
                <w:rFonts w:hAnsi="宋体"/>
                <w:snapToGrid w:val="0"/>
                <w:spacing w:val="-16"/>
                <w:kern w:val="21"/>
                <w:sz w:val="21"/>
                <w:szCs w:val="21"/>
                <w:u w:val="single"/>
              </w:rPr>
              <w:fldChar w:fldCharType="begin"/>
            </w:r>
            <w:r>
              <w:rPr>
                <w:rFonts w:hAnsi="宋体"/>
                <w:snapToGrid w:val="0"/>
                <w:spacing w:val="-16"/>
                <w:kern w:val="21"/>
                <w:sz w:val="21"/>
                <w:szCs w:val="21"/>
                <w:u w:val="single"/>
              </w:rPr>
              <w:instrText xml:space="preserve"> = 5 \* GB3 \* MERGEFORMAT </w:instrText>
            </w:r>
            <w:r>
              <w:rPr>
                <w:rFonts w:hAnsi="宋体"/>
                <w:snapToGrid w:val="0"/>
                <w:spacing w:val="-16"/>
                <w:kern w:val="21"/>
                <w:sz w:val="21"/>
                <w:szCs w:val="21"/>
                <w:u w:val="single"/>
              </w:rPr>
              <w:fldChar w:fldCharType="separate"/>
            </w:r>
            <w:r>
              <w:rPr>
                <w:rFonts w:hint="eastAsia" w:hAnsi="宋体" w:cs="宋体"/>
                <w:kern w:val="2"/>
                <w:sz w:val="21"/>
                <w:szCs w:val="21"/>
                <w:u w:val="single"/>
              </w:rPr>
              <w:t>⑤</w:t>
            </w:r>
            <w:r>
              <w:rPr>
                <w:rFonts w:hAnsi="宋体"/>
                <w:snapToGrid w:val="0"/>
                <w:spacing w:val="-16"/>
                <w:kern w:val="21"/>
                <w:sz w:val="21"/>
                <w:szCs w:val="21"/>
                <w:u w:val="single"/>
              </w:rPr>
              <w:fldChar w:fldCharType="end"/>
            </w:r>
          </w:p>
        </w:tc>
        <w:tc>
          <w:tcPr>
            <w:tcW w:w="1985" w:type="dxa"/>
            <w:noWrap/>
            <w:tcMar>
              <w:left w:w="28" w:type="dxa"/>
              <w:right w:w="28" w:type="dxa"/>
            </w:tcMar>
            <w:vAlign w:val="center"/>
          </w:tcPr>
          <w:p>
            <w:pPr>
              <w:pStyle w:val="55"/>
              <w:spacing w:line="240" w:lineRule="auto"/>
              <w:ind w:firstLine="0"/>
              <w:rPr>
                <w:rFonts w:hAnsi="宋体"/>
                <w:snapToGrid w:val="0"/>
                <w:spacing w:val="-16"/>
                <w:kern w:val="21"/>
                <w:sz w:val="21"/>
                <w:szCs w:val="21"/>
                <w:u w:val="single"/>
              </w:rPr>
            </w:pPr>
            <w:r>
              <w:rPr>
                <w:rFonts w:hAnsi="宋体"/>
                <w:snapToGrid w:val="0"/>
                <w:spacing w:val="-16"/>
                <w:kern w:val="21"/>
                <w:sz w:val="21"/>
                <w:szCs w:val="21"/>
                <w:u w:val="single"/>
              </w:rPr>
              <w:t>本项目建成后</w:t>
            </w:r>
            <w:r>
              <w:rPr>
                <w:rFonts w:hint="eastAsia" w:hAnsi="宋体"/>
                <w:snapToGrid w:val="0"/>
                <w:spacing w:val="-16"/>
                <w:kern w:val="21"/>
                <w:sz w:val="21"/>
                <w:szCs w:val="21"/>
                <w:u w:val="single"/>
              </w:rPr>
              <w:t>全厂</w:t>
            </w:r>
            <w:r>
              <w:rPr>
                <w:rFonts w:hAnsi="宋体"/>
                <w:snapToGrid w:val="0"/>
                <w:spacing w:val="-16"/>
                <w:kern w:val="21"/>
                <w:sz w:val="21"/>
                <w:szCs w:val="21"/>
                <w:u w:val="single"/>
              </w:rPr>
              <w:t>排放量（固</w:t>
            </w:r>
            <w:r>
              <w:rPr>
                <w:rFonts w:hint="eastAsia" w:hAnsi="宋体"/>
                <w:snapToGrid w:val="0"/>
                <w:spacing w:val="-16"/>
                <w:kern w:val="21"/>
                <w:sz w:val="21"/>
                <w:szCs w:val="21"/>
                <w:u w:val="single"/>
              </w:rPr>
              <w:t>体</w:t>
            </w:r>
            <w:r>
              <w:rPr>
                <w:rFonts w:hAnsi="宋体"/>
                <w:snapToGrid w:val="0"/>
                <w:spacing w:val="-16"/>
                <w:kern w:val="21"/>
                <w:sz w:val="21"/>
                <w:szCs w:val="21"/>
                <w:u w:val="single"/>
              </w:rPr>
              <w:t>废</w:t>
            </w:r>
            <w:r>
              <w:rPr>
                <w:rFonts w:hint="eastAsia" w:hAnsi="宋体"/>
                <w:snapToGrid w:val="0"/>
                <w:spacing w:val="-16"/>
                <w:kern w:val="21"/>
                <w:sz w:val="21"/>
                <w:szCs w:val="21"/>
                <w:u w:val="single"/>
              </w:rPr>
              <w:t>物</w:t>
            </w:r>
            <w:r>
              <w:rPr>
                <w:rFonts w:hAnsi="宋体"/>
                <w:snapToGrid w:val="0"/>
                <w:spacing w:val="-16"/>
                <w:kern w:val="21"/>
                <w:sz w:val="21"/>
                <w:szCs w:val="21"/>
                <w:u w:val="single"/>
              </w:rPr>
              <w:t>产生量）</w:t>
            </w:r>
            <w:r>
              <w:rPr>
                <w:rFonts w:hAnsi="宋体"/>
                <w:snapToGrid w:val="0"/>
                <w:spacing w:val="-16"/>
                <w:kern w:val="21"/>
                <w:sz w:val="21"/>
                <w:szCs w:val="21"/>
                <w:u w:val="single"/>
              </w:rPr>
              <w:fldChar w:fldCharType="begin"/>
            </w:r>
            <w:r>
              <w:rPr>
                <w:rFonts w:hAnsi="宋体"/>
                <w:snapToGrid w:val="0"/>
                <w:spacing w:val="-16"/>
                <w:kern w:val="21"/>
                <w:sz w:val="21"/>
                <w:szCs w:val="21"/>
                <w:u w:val="single"/>
              </w:rPr>
              <w:instrText xml:space="preserve"> = 6 \* GB3 \* MERGEFORMAT </w:instrText>
            </w:r>
            <w:r>
              <w:rPr>
                <w:rFonts w:hAnsi="宋体"/>
                <w:snapToGrid w:val="0"/>
                <w:spacing w:val="-16"/>
                <w:kern w:val="21"/>
                <w:sz w:val="21"/>
                <w:szCs w:val="21"/>
                <w:u w:val="single"/>
              </w:rPr>
              <w:fldChar w:fldCharType="separate"/>
            </w:r>
            <w:r>
              <w:rPr>
                <w:rFonts w:hint="eastAsia" w:hAnsi="宋体" w:cs="宋体"/>
                <w:kern w:val="2"/>
                <w:sz w:val="21"/>
                <w:szCs w:val="21"/>
                <w:u w:val="single"/>
              </w:rPr>
              <w:t>⑥</w:t>
            </w:r>
            <w:r>
              <w:rPr>
                <w:rFonts w:hAnsi="宋体"/>
                <w:snapToGrid w:val="0"/>
                <w:spacing w:val="-16"/>
                <w:kern w:val="21"/>
                <w:sz w:val="21"/>
                <w:szCs w:val="21"/>
                <w:u w:val="single"/>
              </w:rPr>
              <w:fldChar w:fldCharType="end"/>
            </w:r>
          </w:p>
        </w:tc>
        <w:tc>
          <w:tcPr>
            <w:tcW w:w="1427" w:type="dxa"/>
            <w:noWrap/>
            <w:tcMar>
              <w:left w:w="28" w:type="dxa"/>
              <w:right w:w="28" w:type="dxa"/>
            </w:tcMar>
            <w:vAlign w:val="center"/>
          </w:tcPr>
          <w:p>
            <w:pPr>
              <w:pStyle w:val="55"/>
              <w:spacing w:line="240" w:lineRule="auto"/>
              <w:ind w:firstLine="0"/>
              <w:rPr>
                <w:rFonts w:hAnsi="宋体"/>
                <w:snapToGrid w:val="0"/>
                <w:spacing w:val="-6"/>
                <w:kern w:val="21"/>
                <w:sz w:val="21"/>
                <w:szCs w:val="21"/>
                <w:u w:val="single"/>
              </w:rPr>
            </w:pPr>
            <w:r>
              <w:rPr>
                <w:rFonts w:hAnsi="宋体"/>
                <w:snapToGrid w:val="0"/>
                <w:spacing w:val="-6"/>
                <w:kern w:val="21"/>
                <w:sz w:val="21"/>
                <w:szCs w:val="21"/>
                <w:u w:val="single"/>
              </w:rPr>
              <w:t>变化量</w:t>
            </w:r>
            <w:r>
              <w:rPr>
                <w:rFonts w:hAnsi="宋体"/>
                <w:snapToGrid w:val="0"/>
                <w:spacing w:val="-6"/>
                <w:kern w:val="21"/>
                <w:sz w:val="21"/>
                <w:szCs w:val="21"/>
                <w:u w:val="single"/>
              </w:rPr>
              <w:fldChar w:fldCharType="begin"/>
            </w:r>
            <w:r>
              <w:rPr>
                <w:rFonts w:hAnsi="宋体"/>
                <w:snapToGrid w:val="0"/>
                <w:spacing w:val="-6"/>
                <w:kern w:val="21"/>
                <w:sz w:val="21"/>
                <w:szCs w:val="21"/>
                <w:u w:val="single"/>
              </w:rPr>
              <w:instrText xml:space="preserve"> = 7 \* GB3 \* MERGEFORMAT </w:instrText>
            </w:r>
            <w:r>
              <w:rPr>
                <w:rFonts w:hAnsi="宋体"/>
                <w:snapToGrid w:val="0"/>
                <w:spacing w:val="-6"/>
                <w:kern w:val="21"/>
                <w:sz w:val="21"/>
                <w:szCs w:val="21"/>
                <w:u w:val="single"/>
              </w:rPr>
              <w:fldChar w:fldCharType="separate"/>
            </w:r>
            <w:r>
              <w:rPr>
                <w:rFonts w:hint="eastAsia" w:hAnsi="宋体" w:cs="宋体"/>
                <w:kern w:val="2"/>
                <w:sz w:val="21"/>
                <w:szCs w:val="21"/>
                <w:u w:val="single"/>
              </w:rPr>
              <w:t>⑦</w:t>
            </w:r>
            <w:r>
              <w:rPr>
                <w:rFonts w:hAnsi="宋体"/>
                <w:snapToGrid w:val="0"/>
                <w:spacing w:val="-6"/>
                <w:kern w:val="21"/>
                <w:sz w:val="21"/>
                <w:szCs w:val="21"/>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restart"/>
            <w:noWrap/>
            <w:vAlign w:val="center"/>
          </w:tcPr>
          <w:p>
            <w:pPr>
              <w:pStyle w:val="55"/>
              <w:spacing w:line="240" w:lineRule="auto"/>
              <w:jc w:val="both"/>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废气</w:t>
            </w:r>
          </w:p>
        </w:tc>
        <w:tc>
          <w:tcPr>
            <w:tcW w:w="1701" w:type="dxa"/>
            <w:noWrap/>
            <w:vAlign w:val="center"/>
          </w:tcPr>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非甲烷总烃</w:t>
            </w:r>
          </w:p>
        </w:tc>
        <w:tc>
          <w:tcPr>
            <w:tcW w:w="1417"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993"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1559"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1559" w:type="dxa"/>
            <w:noWrap/>
            <w:vAlign w:val="center"/>
          </w:tcPr>
          <w:p>
            <w:pPr>
              <w:pStyle w:val="55"/>
              <w:spacing w:line="240" w:lineRule="auto"/>
              <w:jc w:val="both"/>
              <w:rPr>
                <w:rFonts w:hint="default" w:ascii="宋体" w:hAnsi="宋体" w:eastAsia="宋体" w:cs="宋体"/>
                <w:b w:val="0"/>
                <w:bCs/>
                <w:snapToGrid w:val="0"/>
                <w:kern w:val="21"/>
                <w:sz w:val="21"/>
                <w:szCs w:val="21"/>
                <w:u w:val="single"/>
                <w:lang w:val="en-US" w:eastAsia="zh-CN"/>
              </w:rPr>
            </w:pPr>
            <w:r>
              <w:rPr>
                <w:rFonts w:hint="eastAsia" w:ascii="宋体" w:hAnsi="宋体" w:eastAsia="宋体" w:cs="宋体"/>
                <w:b w:val="0"/>
                <w:bCs/>
                <w:snapToGrid w:val="0"/>
                <w:kern w:val="21"/>
                <w:sz w:val="21"/>
                <w:szCs w:val="21"/>
                <w:u w:val="single"/>
                <w:lang w:val="en-US" w:eastAsia="zh-CN"/>
              </w:rPr>
              <w:t>0.053</w:t>
            </w:r>
          </w:p>
        </w:tc>
        <w:tc>
          <w:tcPr>
            <w:tcW w:w="1701"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1985" w:type="dxa"/>
            <w:noWrap/>
            <w:vAlign w:val="center"/>
          </w:tcPr>
          <w:p>
            <w:pPr>
              <w:pStyle w:val="55"/>
              <w:spacing w:line="240" w:lineRule="auto"/>
              <w:ind w:firstLine="0"/>
              <w:rPr>
                <w:rFonts w:hint="default" w:ascii="宋体" w:hAnsi="宋体" w:eastAsia="宋体" w:cs="宋体"/>
                <w:b w:val="0"/>
                <w:bCs/>
                <w:snapToGrid w:val="0"/>
                <w:kern w:val="21"/>
                <w:sz w:val="21"/>
                <w:szCs w:val="21"/>
                <w:u w:val="single"/>
                <w:lang w:val="en-US" w:eastAsia="zh-CN"/>
              </w:rPr>
            </w:pPr>
            <w:r>
              <w:rPr>
                <w:rFonts w:hint="eastAsia" w:ascii="宋体" w:hAnsi="宋体" w:eastAsia="宋体" w:cs="宋体"/>
                <w:b w:val="0"/>
                <w:bCs/>
                <w:snapToGrid w:val="0"/>
                <w:kern w:val="21"/>
                <w:sz w:val="21"/>
                <w:szCs w:val="21"/>
                <w:u w:val="single"/>
                <w:lang w:val="en-US" w:eastAsia="zh-CN"/>
              </w:rPr>
              <w:t>0.053</w:t>
            </w:r>
          </w:p>
        </w:tc>
        <w:tc>
          <w:tcPr>
            <w:tcW w:w="1427" w:type="dxa"/>
            <w:noWrap/>
            <w:vAlign w:val="center"/>
          </w:tcPr>
          <w:p>
            <w:pPr>
              <w:pStyle w:val="55"/>
              <w:spacing w:line="240" w:lineRule="auto"/>
              <w:jc w:val="both"/>
              <w:rPr>
                <w:rFonts w:hint="default" w:ascii="宋体" w:hAnsi="宋体" w:eastAsia="宋体" w:cs="宋体"/>
                <w:b w:val="0"/>
                <w:bCs/>
                <w:snapToGrid w:val="0"/>
                <w:kern w:val="21"/>
                <w:sz w:val="21"/>
                <w:szCs w:val="21"/>
                <w:u w:val="single"/>
                <w:lang w:val="en-US" w:eastAsia="zh-CN"/>
              </w:rPr>
            </w:pPr>
            <w:r>
              <w:rPr>
                <w:rFonts w:hint="eastAsia" w:ascii="宋体" w:hAnsi="宋体" w:eastAsia="宋体" w:cs="宋体"/>
                <w:b w:val="0"/>
                <w:bCs/>
                <w:snapToGrid w:val="0"/>
                <w:kern w:val="21"/>
                <w:sz w:val="21"/>
                <w:szCs w:val="21"/>
                <w:u w:val="single"/>
                <w:lang w:val="en-US" w:eastAsia="zh-CN"/>
              </w:rPr>
              <w:t>+</w:t>
            </w:r>
            <w:bookmarkStart w:id="12" w:name="_GoBack"/>
            <w:bookmarkEnd w:id="12"/>
            <w:r>
              <w:rPr>
                <w:rFonts w:hint="eastAsia" w:ascii="宋体" w:hAnsi="宋体" w:eastAsia="宋体" w:cs="宋体"/>
                <w:b w:val="0"/>
                <w:bCs/>
                <w:snapToGrid w:val="0"/>
                <w:kern w:val="21"/>
                <w:sz w:val="21"/>
                <w:szCs w:val="21"/>
                <w:u w:val="single"/>
                <w:lang w:val="en-US" w:eastAsia="zh-CN"/>
              </w:rPr>
              <w:t>0.053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pStyle w:val="55"/>
              <w:spacing w:line="240" w:lineRule="auto"/>
              <w:jc w:val="both"/>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颗粒物</w:t>
            </w:r>
          </w:p>
        </w:tc>
        <w:tc>
          <w:tcPr>
            <w:tcW w:w="1417"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993"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1559" w:type="dxa"/>
            <w:noWrap/>
            <w:vAlign w:val="center"/>
          </w:tcPr>
          <w:p>
            <w:pPr>
              <w:pStyle w:val="55"/>
              <w:spacing w:line="240" w:lineRule="auto"/>
              <w:rPr>
                <w:rFonts w:ascii="宋体" w:hAnsi="宋体" w:eastAsia="宋体" w:cs="宋体"/>
                <w:b w:val="0"/>
                <w:bCs/>
                <w:snapToGrid w:val="0"/>
                <w:kern w:val="21"/>
                <w:sz w:val="21"/>
                <w:szCs w:val="21"/>
                <w:u w:val="single"/>
              </w:rPr>
            </w:pPr>
          </w:p>
        </w:tc>
        <w:tc>
          <w:tcPr>
            <w:tcW w:w="1559" w:type="dxa"/>
            <w:noWrap/>
            <w:vAlign w:val="center"/>
          </w:tcPr>
          <w:p>
            <w:pPr>
              <w:pStyle w:val="55"/>
              <w:spacing w:line="240" w:lineRule="auto"/>
              <w:ind w:firstLine="454" w:firstLineChars="0"/>
              <w:jc w:val="both"/>
              <w:rPr>
                <w:rFonts w:ascii="宋体" w:hAnsi="宋体" w:eastAsia="宋体" w:cs="宋体"/>
                <w:b w:val="0"/>
                <w:bCs/>
                <w:snapToGrid w:val="0"/>
                <w:kern w:val="21"/>
                <w:sz w:val="21"/>
                <w:szCs w:val="21"/>
                <w:u w:val="single"/>
                <w:lang w:val="en-US" w:eastAsia="zh-CN" w:bidi="ar-SA"/>
              </w:rPr>
            </w:pPr>
            <w:r>
              <w:rPr>
                <w:rFonts w:hint="eastAsia" w:ascii="宋体" w:hAnsi="宋体" w:eastAsia="宋体" w:cs="宋体"/>
                <w:b w:val="0"/>
                <w:bCs/>
                <w:snapToGrid w:val="0"/>
                <w:kern w:val="21"/>
                <w:sz w:val="21"/>
                <w:szCs w:val="21"/>
                <w:u w:val="single"/>
              </w:rPr>
              <w:t>0.0</w:t>
            </w:r>
            <w:r>
              <w:rPr>
                <w:rFonts w:hint="eastAsia" w:ascii="宋体" w:hAnsi="宋体" w:eastAsia="宋体" w:cs="宋体"/>
                <w:b w:val="0"/>
                <w:bCs/>
                <w:snapToGrid w:val="0"/>
                <w:kern w:val="21"/>
                <w:sz w:val="21"/>
                <w:szCs w:val="21"/>
                <w:u w:val="single"/>
                <w:lang w:val="en-US" w:eastAsia="zh-CN"/>
              </w:rPr>
              <w:t>12</w:t>
            </w:r>
          </w:p>
        </w:tc>
        <w:tc>
          <w:tcPr>
            <w:tcW w:w="1701" w:type="dxa"/>
            <w:noWrap/>
            <w:vAlign w:val="center"/>
          </w:tcPr>
          <w:p>
            <w:pPr>
              <w:pStyle w:val="55"/>
              <w:spacing w:line="240" w:lineRule="auto"/>
              <w:ind w:firstLine="454" w:firstLineChars="0"/>
              <w:rPr>
                <w:rFonts w:ascii="宋体" w:hAnsi="宋体" w:eastAsia="宋体" w:cs="宋体"/>
                <w:b w:val="0"/>
                <w:bCs/>
                <w:snapToGrid w:val="0"/>
                <w:kern w:val="21"/>
                <w:sz w:val="21"/>
                <w:szCs w:val="21"/>
                <w:u w:val="single"/>
                <w:lang w:val="en-US" w:eastAsia="zh-CN" w:bidi="ar-SA"/>
              </w:rPr>
            </w:pPr>
          </w:p>
        </w:tc>
        <w:tc>
          <w:tcPr>
            <w:tcW w:w="1985" w:type="dxa"/>
            <w:noWrap/>
            <w:vAlign w:val="center"/>
          </w:tcPr>
          <w:p>
            <w:pPr>
              <w:pStyle w:val="55"/>
              <w:spacing w:line="240" w:lineRule="auto"/>
              <w:ind w:firstLine="0" w:firstLineChars="0"/>
              <w:rPr>
                <w:rFonts w:ascii="宋体" w:hAnsi="宋体" w:eastAsia="宋体" w:cs="宋体"/>
                <w:b w:val="0"/>
                <w:bCs/>
                <w:snapToGrid w:val="0"/>
                <w:kern w:val="21"/>
                <w:sz w:val="21"/>
                <w:szCs w:val="21"/>
                <w:u w:val="single"/>
                <w:lang w:val="en-US" w:eastAsia="zh-CN" w:bidi="ar-SA"/>
              </w:rPr>
            </w:pPr>
            <w:r>
              <w:rPr>
                <w:rFonts w:hint="eastAsia" w:ascii="宋体" w:hAnsi="宋体" w:eastAsia="宋体" w:cs="宋体"/>
                <w:b w:val="0"/>
                <w:bCs/>
                <w:snapToGrid w:val="0"/>
                <w:kern w:val="21"/>
                <w:sz w:val="21"/>
                <w:szCs w:val="21"/>
                <w:u w:val="single"/>
              </w:rPr>
              <w:t>0.0</w:t>
            </w:r>
            <w:r>
              <w:rPr>
                <w:rFonts w:hint="eastAsia" w:ascii="宋体" w:hAnsi="宋体" w:eastAsia="宋体" w:cs="宋体"/>
                <w:b w:val="0"/>
                <w:bCs/>
                <w:snapToGrid w:val="0"/>
                <w:kern w:val="21"/>
                <w:sz w:val="21"/>
                <w:szCs w:val="21"/>
                <w:u w:val="single"/>
                <w:lang w:val="en-US" w:eastAsia="zh-CN"/>
              </w:rPr>
              <w:t>12</w:t>
            </w:r>
          </w:p>
        </w:tc>
        <w:tc>
          <w:tcPr>
            <w:tcW w:w="1427" w:type="dxa"/>
            <w:noWrap/>
            <w:vAlign w:val="center"/>
          </w:tcPr>
          <w:p>
            <w:pPr>
              <w:pStyle w:val="55"/>
              <w:spacing w:line="240" w:lineRule="auto"/>
              <w:ind w:firstLine="454" w:firstLineChars="0"/>
              <w:jc w:val="both"/>
              <w:rPr>
                <w:rFonts w:ascii="宋体" w:hAnsi="宋体" w:eastAsia="宋体" w:cs="宋体"/>
                <w:b w:val="0"/>
                <w:bCs/>
                <w:snapToGrid w:val="0"/>
                <w:kern w:val="21"/>
                <w:sz w:val="21"/>
                <w:szCs w:val="21"/>
                <w:u w:val="single"/>
                <w:lang w:val="en-US" w:eastAsia="zh-CN" w:bidi="ar-SA"/>
              </w:rPr>
            </w:pPr>
            <w:r>
              <w:rPr>
                <w:rFonts w:hint="eastAsia" w:ascii="宋体" w:hAnsi="宋体" w:eastAsia="宋体" w:cs="宋体"/>
                <w:b w:val="0"/>
                <w:bCs/>
                <w:snapToGrid w:val="0"/>
                <w:kern w:val="21"/>
                <w:sz w:val="21"/>
                <w:szCs w:val="21"/>
                <w:u w:val="single"/>
              </w:rPr>
              <w:t>+0.0</w:t>
            </w:r>
            <w:r>
              <w:rPr>
                <w:rFonts w:hint="eastAsia" w:ascii="宋体" w:hAnsi="宋体" w:eastAsia="宋体" w:cs="宋体"/>
                <w:b w:val="0"/>
                <w:bCs/>
                <w:snapToGrid w:val="0"/>
                <w:kern w:val="21"/>
                <w:sz w:val="21"/>
                <w:szCs w:val="21"/>
                <w:u w:val="singl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restart"/>
            <w:noWrap/>
            <w:vAlign w:val="center"/>
          </w:tcPr>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生活污水</w:t>
            </w:r>
          </w:p>
        </w:tc>
        <w:tc>
          <w:tcPr>
            <w:tcW w:w="1701"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COD</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0.029</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0.029</w:t>
            </w:r>
          </w:p>
        </w:tc>
        <w:tc>
          <w:tcPr>
            <w:tcW w:w="1427"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BOD</w:t>
            </w:r>
            <w:r>
              <w:rPr>
                <w:rFonts w:hint="eastAsia" w:ascii="宋体" w:hAnsi="宋体" w:cs="宋体"/>
                <w:bCs/>
                <w:szCs w:val="21"/>
                <w:u w:val="single"/>
                <w:vertAlign w:val="subscript"/>
              </w:rPr>
              <w:t>5</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0.015</w:t>
            </w:r>
          </w:p>
        </w:tc>
        <w:tc>
          <w:tcPr>
            <w:tcW w:w="1427"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SS</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0.019</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0.019</w:t>
            </w:r>
          </w:p>
        </w:tc>
        <w:tc>
          <w:tcPr>
            <w:tcW w:w="1427"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氨氮</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0.002</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0.002</w:t>
            </w:r>
          </w:p>
        </w:tc>
        <w:tc>
          <w:tcPr>
            <w:tcW w:w="1427" w:type="dxa"/>
            <w:noWrap/>
            <w:vAlign w:val="center"/>
          </w:tcPr>
          <w:p>
            <w:pPr>
              <w:adjustRightInd w:val="0"/>
              <w:snapToGrid w:val="0"/>
              <w:jc w:val="center"/>
              <w:rPr>
                <w:rFonts w:ascii="宋体" w:hAnsi="宋体" w:cs="宋体"/>
                <w:bCs/>
                <w:szCs w:val="21"/>
                <w:u w:val="single"/>
              </w:rPr>
            </w:pPr>
            <w:r>
              <w:rPr>
                <w:rFonts w:hint="eastAsia" w:ascii="宋体" w:hAnsi="宋体" w:cs="宋体"/>
                <w:bCs/>
                <w:szCs w:val="21"/>
                <w:u w:val="single"/>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446" w:type="dxa"/>
            <w:vMerge w:val="restart"/>
            <w:noWrap/>
            <w:vAlign w:val="center"/>
          </w:tcPr>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一般工业</w:t>
            </w:r>
          </w:p>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固体废物</w:t>
            </w:r>
          </w:p>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（产生量）</w:t>
            </w:r>
          </w:p>
        </w:tc>
        <w:tc>
          <w:tcPr>
            <w:tcW w:w="1701" w:type="dxa"/>
            <w:noWrap/>
            <w:vAlign w:val="center"/>
          </w:tcPr>
          <w:p>
            <w:pPr>
              <w:jc w:val="center"/>
              <w:rPr>
                <w:rFonts w:ascii="宋体" w:hAnsi="宋体"/>
                <w:bCs/>
                <w:iCs/>
                <w:szCs w:val="21"/>
                <w:u w:val="single"/>
              </w:rPr>
            </w:pPr>
            <w:r>
              <w:rPr>
                <w:rFonts w:ascii="宋体" w:hAnsi="宋体"/>
                <w:bCs/>
                <w:iCs/>
                <w:szCs w:val="21"/>
                <w:u w:val="single"/>
              </w:rPr>
              <w:t>生活垃圾</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szCs w:val="21"/>
                <w:u w:val="single"/>
              </w:rPr>
            </w:pPr>
            <w:r>
              <w:rPr>
                <w:rFonts w:hint="eastAsia" w:ascii="宋体" w:hAnsi="宋体"/>
                <w:szCs w:val="21"/>
                <w:u w:val="single"/>
              </w:rPr>
              <w:t>3.5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szCs w:val="21"/>
                <w:u w:val="single"/>
              </w:rPr>
            </w:pPr>
            <w:r>
              <w:rPr>
                <w:rFonts w:hint="eastAsia" w:ascii="宋体" w:hAnsi="宋体"/>
                <w:szCs w:val="21"/>
                <w:u w:val="single"/>
              </w:rPr>
              <w:t>3.5</w:t>
            </w:r>
          </w:p>
        </w:tc>
        <w:tc>
          <w:tcPr>
            <w:tcW w:w="1427" w:type="dxa"/>
            <w:noWrap/>
            <w:vAlign w:val="center"/>
          </w:tcPr>
          <w:p>
            <w:pPr>
              <w:adjustRightInd w:val="0"/>
              <w:snapToGrid w:val="0"/>
              <w:jc w:val="center"/>
              <w:rPr>
                <w:rFonts w:ascii="宋体" w:hAnsi="宋体"/>
                <w:szCs w:val="21"/>
                <w:u w:val="single"/>
              </w:rPr>
            </w:pPr>
            <w:r>
              <w:rPr>
                <w:rFonts w:hint="eastAsia" w:ascii="宋体" w:hAnsi="宋体"/>
                <w:szCs w:val="21"/>
                <w:u w:val="single"/>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毁形总成</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ascii="宋体" w:hAnsi="宋体"/>
                <w:szCs w:val="21"/>
                <w:u w:val="single"/>
              </w:rPr>
            </w:pPr>
            <w:r>
              <w:rPr>
                <w:rFonts w:hint="eastAsia" w:ascii="宋体" w:hAnsi="宋体"/>
                <w:szCs w:val="21"/>
                <w:u w:val="single"/>
              </w:rPr>
              <w:t>2050</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ascii="宋体" w:hAnsi="宋体"/>
                <w:szCs w:val="21"/>
                <w:u w:val="single"/>
              </w:rPr>
            </w:pPr>
            <w:r>
              <w:rPr>
                <w:rFonts w:hint="eastAsia" w:ascii="宋体" w:hAnsi="宋体"/>
                <w:szCs w:val="21"/>
                <w:u w:val="single"/>
              </w:rPr>
              <w:t>2050</w:t>
            </w:r>
          </w:p>
        </w:tc>
        <w:tc>
          <w:tcPr>
            <w:tcW w:w="1427" w:type="dxa"/>
            <w:noWrap/>
            <w:vAlign w:val="center"/>
          </w:tcPr>
          <w:p>
            <w:pPr>
              <w:adjustRightInd w:val="0"/>
              <w:snapToGrid w:val="0"/>
              <w:jc w:val="center"/>
              <w:rPr>
                <w:rFonts w:ascii="宋体" w:hAnsi="宋体"/>
                <w:szCs w:val="21"/>
                <w:u w:val="single"/>
              </w:rPr>
            </w:pPr>
            <w:r>
              <w:rPr>
                <w:rFonts w:hint="eastAsia" w:ascii="宋体" w:hAnsi="宋体"/>
                <w:szCs w:val="21"/>
                <w:u w:val="single"/>
              </w:rPr>
              <w:t>+2050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废玻璃</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42.5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42.5</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w:t>
            </w:r>
            <w:r>
              <w:rPr>
                <w:rFonts w:hint="eastAsia" w:ascii="宋体" w:hAnsi="宋体"/>
                <w:bCs/>
                <w:iCs/>
                <w:szCs w:val="21"/>
                <w:u w:val="single"/>
              </w:rPr>
              <w:t>橡胶</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343.8</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343.8</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+343.8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钢铁</w:t>
            </w:r>
          </w:p>
        </w:tc>
        <w:tc>
          <w:tcPr>
            <w:tcW w:w="1417" w:type="dxa"/>
            <w:noWrap/>
            <w:vAlign w:val="center"/>
          </w:tcPr>
          <w:p>
            <w:pPr>
              <w:adjustRightInd w:val="0"/>
              <w:snapToGrid w:val="0"/>
              <w:jc w:val="center"/>
              <w:rPr>
                <w:rFonts w:ascii="宋体" w:hAnsi="宋体"/>
                <w:spacing w:val="-20"/>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pacing w:val="-20"/>
                <w:szCs w:val="21"/>
                <w:u w:val="single"/>
                <w:lang w:val="en-US" w:eastAsia="zh-CN"/>
              </w:rPr>
            </w:pPr>
            <w:r>
              <w:rPr>
                <w:rFonts w:hint="eastAsia" w:ascii="宋体" w:hAnsi="宋体"/>
                <w:spacing w:val="-20"/>
                <w:szCs w:val="21"/>
                <w:u w:val="single"/>
                <w:lang w:val="en-US" w:eastAsia="zh-CN"/>
              </w:rPr>
              <w:t>5510</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spacing w:val="-20"/>
                <w:kern w:val="2"/>
                <w:sz w:val="21"/>
                <w:szCs w:val="21"/>
                <w:u w:val="single"/>
                <w:lang w:val="en-US" w:eastAsia="zh-CN" w:bidi="ar-SA"/>
              </w:rPr>
            </w:pPr>
            <w:r>
              <w:rPr>
                <w:rFonts w:hint="eastAsia" w:ascii="宋体" w:hAnsi="宋体"/>
                <w:spacing w:val="-20"/>
                <w:szCs w:val="21"/>
                <w:u w:val="single"/>
                <w:lang w:val="en-US" w:eastAsia="zh-CN"/>
              </w:rPr>
              <w:t>5510</w:t>
            </w:r>
          </w:p>
        </w:tc>
        <w:tc>
          <w:tcPr>
            <w:tcW w:w="1427" w:type="dxa"/>
            <w:noWrap/>
            <w:vAlign w:val="center"/>
          </w:tcPr>
          <w:p>
            <w:pPr>
              <w:adjustRightInd w:val="0"/>
              <w:snapToGrid w:val="0"/>
              <w:jc w:val="center"/>
              <w:rPr>
                <w:rFonts w:hint="default" w:ascii="宋体" w:hAnsi="宋体" w:eastAsiaTheme="minorEastAsia" w:cstheme="minorBidi"/>
                <w:spacing w:val="-20"/>
                <w:kern w:val="2"/>
                <w:sz w:val="21"/>
                <w:szCs w:val="21"/>
                <w:u w:val="single"/>
                <w:lang w:val="en-US" w:eastAsia="zh-CN" w:bidi="ar-SA"/>
              </w:rPr>
            </w:pPr>
            <w:r>
              <w:rPr>
                <w:rFonts w:hint="eastAsia" w:ascii="宋体" w:hAnsi="宋体"/>
                <w:spacing w:val="-20"/>
                <w:szCs w:val="21"/>
                <w:u w:val="single"/>
                <w:lang w:val="en-US" w:eastAsia="zh-CN"/>
              </w:rPr>
              <w:t>+5510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零部件</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148.8</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148.8</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+148.8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有色金属</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102.3</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102.3</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+102.3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废塑料</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62.3</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62.3</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纤维</w:t>
            </w:r>
            <w:r>
              <w:rPr>
                <w:rFonts w:hint="eastAsia" w:ascii="宋体" w:hAnsi="宋体"/>
                <w:bCs/>
                <w:iCs/>
                <w:szCs w:val="21"/>
                <w:u w:val="single"/>
              </w:rPr>
              <w:t>、</w:t>
            </w:r>
            <w:r>
              <w:rPr>
                <w:rFonts w:ascii="宋体" w:hAnsi="宋体"/>
                <w:bCs/>
                <w:iCs/>
                <w:szCs w:val="21"/>
                <w:u w:val="single"/>
              </w:rPr>
              <w:t>皮革</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60.2</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60.2</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含油抹布</w:t>
            </w:r>
            <w:r>
              <w:rPr>
                <w:rFonts w:hint="eastAsia" w:ascii="宋体" w:hAnsi="宋体"/>
                <w:bCs/>
                <w:iCs/>
                <w:szCs w:val="21"/>
                <w:u w:val="single"/>
              </w:rPr>
              <w:t>、</w:t>
            </w:r>
            <w:r>
              <w:rPr>
                <w:rFonts w:ascii="宋体" w:hAnsi="宋体"/>
                <w:bCs/>
                <w:iCs/>
                <w:szCs w:val="21"/>
                <w:u w:val="single"/>
              </w:rPr>
              <w:t>手套</w:t>
            </w:r>
          </w:p>
        </w:tc>
        <w:tc>
          <w:tcPr>
            <w:tcW w:w="1417" w:type="dxa"/>
            <w:noWrap/>
            <w:vAlign w:val="center"/>
          </w:tcPr>
          <w:p>
            <w:pPr>
              <w:adjustRightInd w:val="0"/>
              <w:snapToGrid w:val="0"/>
              <w:jc w:val="center"/>
              <w:rPr>
                <w:rFonts w:ascii="宋体" w:hAnsi="宋体"/>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0.4</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0.4</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restart"/>
            <w:noWrap/>
            <w:vAlign w:val="center"/>
          </w:tcPr>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危险废物</w:t>
            </w:r>
          </w:p>
          <w:p>
            <w:pPr>
              <w:pStyle w:val="55"/>
              <w:spacing w:line="240" w:lineRule="auto"/>
              <w:ind w:firstLine="0"/>
              <w:rPr>
                <w:rFonts w:ascii="宋体" w:hAnsi="宋体" w:eastAsia="宋体" w:cs="宋体"/>
                <w:b w:val="0"/>
                <w:bCs/>
                <w:snapToGrid w:val="0"/>
                <w:kern w:val="21"/>
                <w:sz w:val="21"/>
                <w:szCs w:val="21"/>
                <w:u w:val="single"/>
              </w:rPr>
            </w:pPr>
            <w:r>
              <w:rPr>
                <w:rFonts w:hint="eastAsia" w:ascii="宋体" w:hAnsi="宋体" w:eastAsia="宋体" w:cs="宋体"/>
                <w:b w:val="0"/>
                <w:bCs/>
                <w:snapToGrid w:val="0"/>
                <w:kern w:val="21"/>
                <w:sz w:val="21"/>
                <w:szCs w:val="21"/>
                <w:u w:val="single"/>
              </w:rPr>
              <w:t>（产生量）</w:t>
            </w:r>
          </w:p>
        </w:tc>
        <w:tc>
          <w:tcPr>
            <w:tcW w:w="1701" w:type="dxa"/>
            <w:noWrap/>
            <w:vAlign w:val="center"/>
          </w:tcPr>
          <w:p>
            <w:pPr>
              <w:jc w:val="center"/>
              <w:rPr>
                <w:rFonts w:ascii="宋体" w:hAnsi="宋体"/>
                <w:bCs/>
                <w:iCs/>
                <w:szCs w:val="21"/>
                <w:u w:val="single"/>
              </w:rPr>
            </w:pPr>
            <w:r>
              <w:rPr>
                <w:rFonts w:ascii="宋体" w:hAnsi="宋体"/>
                <w:bCs/>
                <w:iCs/>
                <w:szCs w:val="21"/>
                <w:u w:val="single"/>
              </w:rPr>
              <w:t>废</w:t>
            </w:r>
            <w:r>
              <w:rPr>
                <w:rFonts w:hint="eastAsia" w:ascii="宋体" w:hAnsi="宋体"/>
                <w:bCs/>
                <w:iCs/>
                <w:szCs w:val="21"/>
                <w:u w:val="single"/>
                <w:lang w:eastAsia="zh-CN"/>
              </w:rPr>
              <w:t>铅蓄</w:t>
            </w:r>
            <w:r>
              <w:rPr>
                <w:rFonts w:ascii="宋体" w:hAnsi="宋体"/>
                <w:bCs/>
                <w:iCs/>
                <w:szCs w:val="21"/>
                <w:u w:val="single"/>
              </w:rPr>
              <w:t>电池</w:t>
            </w:r>
          </w:p>
        </w:tc>
        <w:tc>
          <w:tcPr>
            <w:tcW w:w="1417" w:type="dxa"/>
            <w:noWrap/>
            <w:vAlign w:val="center"/>
          </w:tcPr>
          <w:p>
            <w:pPr>
              <w:pStyle w:val="55"/>
              <w:spacing w:line="240" w:lineRule="auto"/>
              <w:ind w:firstLine="454" w:firstLineChars="0"/>
              <w:rPr>
                <w:rFonts w:ascii="昆仑仿宋" w:hAnsi="宋体" w:eastAsia="昆仑仿宋" w:cs="宋体"/>
                <w:b/>
                <w:snapToGrid w:val="0"/>
                <w:kern w:val="21"/>
                <w:sz w:val="21"/>
                <w:szCs w:val="21"/>
                <w:u w:val="single"/>
                <w:lang w:val="en-US" w:eastAsia="zh-CN" w:bidi="ar-SA"/>
              </w:rPr>
            </w:pPr>
          </w:p>
        </w:tc>
        <w:tc>
          <w:tcPr>
            <w:tcW w:w="993" w:type="dxa"/>
            <w:noWrap/>
            <w:vAlign w:val="center"/>
          </w:tcPr>
          <w:p>
            <w:pPr>
              <w:pStyle w:val="55"/>
              <w:spacing w:line="240" w:lineRule="auto"/>
              <w:ind w:firstLine="454" w:firstLineChars="0"/>
              <w:rPr>
                <w:rFonts w:ascii="昆仑仿宋" w:hAnsi="宋体" w:eastAsia="昆仑仿宋" w:cs="宋体"/>
                <w:b/>
                <w:snapToGrid w:val="0"/>
                <w:kern w:val="21"/>
                <w:sz w:val="21"/>
                <w:szCs w:val="21"/>
                <w:u w:val="single"/>
                <w:lang w:val="en-US" w:eastAsia="zh-CN" w:bidi="ar-SA"/>
              </w:rPr>
            </w:pPr>
          </w:p>
        </w:tc>
        <w:tc>
          <w:tcPr>
            <w:tcW w:w="1559" w:type="dxa"/>
            <w:noWrap/>
            <w:vAlign w:val="center"/>
          </w:tcPr>
          <w:p>
            <w:pPr>
              <w:pStyle w:val="55"/>
              <w:spacing w:line="240" w:lineRule="auto"/>
              <w:ind w:firstLine="454" w:firstLineChars="0"/>
              <w:rPr>
                <w:rFonts w:ascii="昆仑仿宋" w:hAnsi="宋体" w:eastAsia="昆仑仿宋" w:cs="宋体"/>
                <w:b/>
                <w:snapToGrid w:val="0"/>
                <w:kern w:val="21"/>
                <w:sz w:val="21"/>
                <w:szCs w:val="21"/>
                <w:u w:val="single"/>
                <w:lang w:val="en-US" w:eastAsia="zh-CN" w:bidi="ar-SA"/>
              </w:rPr>
            </w:pPr>
          </w:p>
        </w:tc>
        <w:tc>
          <w:tcPr>
            <w:tcW w:w="1559" w:type="dxa"/>
            <w:noWrap/>
            <w:vAlign w:val="center"/>
          </w:tcPr>
          <w:p>
            <w:pPr>
              <w:jc w:val="center"/>
              <w:rPr>
                <w:rFonts w:hint="eastAsia" w:ascii="宋体" w:hAnsi="宋体" w:cs="宋体"/>
                <w:kern w:val="2"/>
                <w:sz w:val="21"/>
                <w:szCs w:val="21"/>
                <w:u w:val="single"/>
                <w:lang w:val="en-US" w:eastAsia="zh-CN" w:bidi="ar-SA"/>
              </w:rPr>
            </w:pPr>
            <w:r>
              <w:rPr>
                <w:rFonts w:hint="eastAsia" w:ascii="宋体" w:hAnsi="宋体" w:cs="宋体"/>
                <w:kern w:val="2"/>
                <w:sz w:val="21"/>
                <w:szCs w:val="21"/>
                <w:u w:val="single"/>
                <w:lang w:val="en-US" w:eastAsia="zh-CN" w:bidi="ar-SA"/>
              </w:rPr>
              <w:t>100</w:t>
            </w:r>
          </w:p>
        </w:tc>
        <w:tc>
          <w:tcPr>
            <w:tcW w:w="1701" w:type="dxa"/>
            <w:noWrap/>
            <w:vAlign w:val="center"/>
          </w:tcPr>
          <w:p>
            <w:pPr>
              <w:pStyle w:val="55"/>
              <w:spacing w:line="240" w:lineRule="auto"/>
              <w:ind w:firstLine="454" w:firstLineChars="0"/>
              <w:rPr>
                <w:rFonts w:ascii="昆仑仿宋" w:hAnsi="宋体" w:eastAsia="昆仑仿宋" w:cs="宋体"/>
                <w:b/>
                <w:snapToGrid w:val="0"/>
                <w:kern w:val="21"/>
                <w:sz w:val="21"/>
                <w:szCs w:val="21"/>
                <w:u w:val="single"/>
                <w:lang w:val="en-US" w:eastAsia="zh-CN" w:bidi="ar-SA"/>
              </w:rPr>
            </w:pPr>
          </w:p>
        </w:tc>
        <w:tc>
          <w:tcPr>
            <w:tcW w:w="1985" w:type="dxa"/>
            <w:noWrap/>
            <w:vAlign w:val="center"/>
          </w:tcPr>
          <w:p>
            <w:pPr>
              <w:jc w:val="center"/>
              <w:rPr>
                <w:rFonts w:hint="eastAsia" w:ascii="宋体" w:hAnsi="宋体" w:cs="宋体" w:eastAsiaTheme="minorEastAsia"/>
                <w:kern w:val="2"/>
                <w:sz w:val="21"/>
                <w:szCs w:val="21"/>
                <w:u w:val="single"/>
                <w:lang w:val="en-US" w:eastAsia="zh-CN" w:bidi="ar-SA"/>
              </w:rPr>
            </w:pPr>
            <w:r>
              <w:rPr>
                <w:rFonts w:hint="eastAsia" w:ascii="宋体" w:hAnsi="宋体" w:cs="宋体"/>
                <w:kern w:val="2"/>
                <w:sz w:val="21"/>
                <w:szCs w:val="21"/>
                <w:u w:val="single"/>
                <w:lang w:val="en-US" w:eastAsia="zh-CN" w:bidi="ar-SA"/>
              </w:rPr>
              <w:t>100</w:t>
            </w:r>
          </w:p>
        </w:tc>
        <w:tc>
          <w:tcPr>
            <w:tcW w:w="1427" w:type="dxa"/>
            <w:noWrap/>
            <w:vAlign w:val="center"/>
          </w:tcPr>
          <w:p>
            <w:pPr>
              <w:jc w:val="center"/>
              <w:rPr>
                <w:rFonts w:hint="eastAsia" w:ascii="宋体" w:hAnsi="宋体" w:cs="宋体" w:eastAsiaTheme="minorEastAsia"/>
                <w:kern w:val="2"/>
                <w:sz w:val="21"/>
                <w:szCs w:val="21"/>
                <w:u w:val="single"/>
                <w:lang w:val="en-US" w:eastAsia="zh-CN" w:bidi="ar-SA"/>
              </w:rPr>
            </w:pPr>
            <w:r>
              <w:rPr>
                <w:rFonts w:hint="eastAsia" w:ascii="宋体" w:hAnsi="宋体" w:cs="宋体"/>
                <w:kern w:val="2"/>
                <w:sz w:val="21"/>
                <w:szCs w:val="21"/>
                <w:u w:val="single"/>
                <w:lang w:val="en-US" w:eastAsia="zh-CN" w:bidi="ar-S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446" w:type="dxa"/>
            <w:vMerge w:val="continue"/>
            <w:noWrap/>
            <w:vAlign w:val="center"/>
          </w:tcPr>
          <w:p>
            <w:pPr>
              <w:pStyle w:val="55"/>
              <w:spacing w:line="240" w:lineRule="auto"/>
              <w:ind w:firstLine="0"/>
              <w:rPr>
                <w:rFonts w:ascii="宋体" w:hAnsi="宋体" w:eastAsia="宋体" w:cs="宋体"/>
                <w:b w:val="0"/>
                <w:bCs/>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废机油</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25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25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剩余燃油</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5.5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废防冻</w:t>
            </w:r>
            <w:r>
              <w:rPr>
                <w:rFonts w:hint="eastAsia" w:ascii="宋体" w:hAnsi="宋体"/>
                <w:bCs/>
                <w:iCs/>
                <w:szCs w:val="21"/>
                <w:u w:val="single"/>
              </w:rPr>
              <w:t>剂</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5.5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trPr>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制动液</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19.0</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19.0</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eastAsiaTheme="minorEastAsia"/>
                <w:bCs/>
                <w:iCs/>
                <w:spacing w:val="0"/>
                <w:sz w:val="21"/>
                <w:szCs w:val="21"/>
                <w:u w:val="single"/>
              </w:rPr>
            </w:pPr>
            <w:r>
              <w:rPr>
                <w:rFonts w:ascii="宋体" w:hAnsi="宋体" w:eastAsiaTheme="minorEastAsia"/>
                <w:bCs/>
                <w:iCs/>
                <w:spacing w:val="0"/>
                <w:sz w:val="21"/>
                <w:szCs w:val="21"/>
                <w:u w:val="single"/>
              </w:rPr>
              <w:t>废尾气净化装置</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5.5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eastAsiaTheme="minorEastAsia"/>
                <w:bCs/>
                <w:iCs/>
                <w:spacing w:val="0"/>
                <w:sz w:val="21"/>
                <w:szCs w:val="21"/>
                <w:u w:val="single"/>
              </w:rPr>
            </w:pPr>
            <w:r>
              <w:rPr>
                <w:rFonts w:ascii="宋体" w:hAnsi="宋体" w:eastAsiaTheme="minorEastAsia"/>
                <w:bCs/>
                <w:iCs/>
                <w:spacing w:val="0"/>
                <w:sz w:val="21"/>
                <w:szCs w:val="21"/>
                <w:u w:val="single"/>
              </w:rPr>
              <w:t>废机油滤清器</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8.5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8.5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eastAsiaTheme="minorEastAsia"/>
                <w:bCs/>
                <w:iCs/>
                <w:spacing w:val="0"/>
                <w:sz w:val="21"/>
                <w:szCs w:val="21"/>
                <w:u w:val="single"/>
              </w:rPr>
            </w:pPr>
            <w:r>
              <w:rPr>
                <w:rFonts w:ascii="宋体" w:hAnsi="宋体" w:eastAsiaTheme="minorEastAsia"/>
                <w:bCs/>
                <w:iCs/>
                <w:spacing w:val="0"/>
                <w:sz w:val="21"/>
                <w:szCs w:val="21"/>
                <w:u w:val="single"/>
              </w:rPr>
              <w:t>含汞开关</w:t>
            </w:r>
            <w:r>
              <w:rPr>
                <w:rFonts w:hint="eastAsia" w:ascii="宋体" w:hAnsi="宋体" w:eastAsiaTheme="minorEastAsia"/>
                <w:bCs/>
                <w:iCs/>
                <w:spacing w:val="0"/>
                <w:sz w:val="21"/>
                <w:szCs w:val="21"/>
                <w:u w:val="single"/>
              </w:rPr>
              <w:t>、</w:t>
            </w:r>
            <w:r>
              <w:rPr>
                <w:rFonts w:ascii="宋体" w:hAnsi="宋体" w:eastAsiaTheme="minorEastAsia"/>
                <w:bCs/>
                <w:iCs/>
                <w:spacing w:val="0"/>
                <w:sz w:val="21"/>
                <w:szCs w:val="21"/>
                <w:u w:val="single"/>
              </w:rPr>
              <w:t>电路板</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7.5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7.5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电容器</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jc w:val="center"/>
              <w:rPr>
                <w:rFonts w:hint="default" w:ascii="宋体" w:hAnsi="宋体" w:cs="宋体" w:eastAsiaTheme="minorEastAsia"/>
                <w:szCs w:val="21"/>
                <w:u w:val="single"/>
                <w:lang w:val="en-US" w:eastAsia="zh-CN"/>
              </w:rPr>
            </w:pPr>
            <w:r>
              <w:rPr>
                <w:rFonts w:hint="eastAsia" w:ascii="宋体" w:hAnsi="宋体" w:cs="宋体"/>
                <w:szCs w:val="21"/>
                <w:u w:val="single"/>
                <w:lang w:val="en-US" w:eastAsia="zh-CN"/>
              </w:rPr>
              <w:t>6.5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6.5</w:t>
            </w:r>
          </w:p>
        </w:tc>
        <w:tc>
          <w:tcPr>
            <w:tcW w:w="1427" w:type="dxa"/>
            <w:noWrap/>
            <w:vAlign w:val="center"/>
          </w:tcPr>
          <w:p>
            <w:pPr>
              <w:jc w:val="center"/>
              <w:rPr>
                <w:rFonts w:hint="default" w:ascii="宋体" w:hAnsi="宋体" w:cs="宋体" w:eastAsiaTheme="minorEastAsia"/>
                <w:kern w:val="2"/>
                <w:sz w:val="21"/>
                <w:szCs w:val="21"/>
                <w:u w:val="single"/>
                <w:lang w:val="en-US" w:eastAsia="zh-CN" w:bidi="ar-SA"/>
              </w:rPr>
            </w:pPr>
            <w:r>
              <w:rPr>
                <w:rFonts w:hint="eastAsia" w:ascii="宋体" w:hAnsi="宋体" w:cs="宋体"/>
                <w:szCs w:val="21"/>
                <w:u w:val="single"/>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含油污泥</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0.2</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0.2</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c>
          <w:tcPr>
            <w:tcW w:w="1446" w:type="dxa"/>
            <w:vMerge w:val="continue"/>
            <w:noWrap/>
            <w:vAlign w:val="center"/>
          </w:tcPr>
          <w:p>
            <w:pPr>
              <w:pStyle w:val="55"/>
              <w:spacing w:line="240" w:lineRule="auto"/>
              <w:rPr>
                <w:rFonts w:hAnsi="宋体" w:cs="宋体"/>
                <w:snapToGrid w:val="0"/>
                <w:kern w:val="21"/>
                <w:sz w:val="21"/>
                <w:szCs w:val="21"/>
                <w:u w:val="single"/>
              </w:rPr>
            </w:pPr>
          </w:p>
        </w:tc>
        <w:tc>
          <w:tcPr>
            <w:tcW w:w="1701" w:type="dxa"/>
            <w:noWrap/>
            <w:vAlign w:val="center"/>
          </w:tcPr>
          <w:p>
            <w:pPr>
              <w:jc w:val="center"/>
              <w:rPr>
                <w:rFonts w:ascii="宋体" w:hAnsi="宋体"/>
                <w:bCs/>
                <w:iCs/>
                <w:szCs w:val="21"/>
                <w:u w:val="single"/>
              </w:rPr>
            </w:pPr>
            <w:r>
              <w:rPr>
                <w:rFonts w:ascii="宋体" w:hAnsi="宋体"/>
                <w:bCs/>
                <w:iCs/>
                <w:szCs w:val="21"/>
                <w:u w:val="single"/>
              </w:rPr>
              <w:t>废活性炭</w:t>
            </w:r>
          </w:p>
        </w:tc>
        <w:tc>
          <w:tcPr>
            <w:tcW w:w="1417" w:type="dxa"/>
            <w:noWrap/>
            <w:vAlign w:val="center"/>
          </w:tcPr>
          <w:p>
            <w:pPr>
              <w:pStyle w:val="55"/>
              <w:spacing w:line="240" w:lineRule="auto"/>
              <w:rPr>
                <w:rFonts w:hAnsi="宋体" w:cs="宋体"/>
                <w:snapToGrid w:val="0"/>
                <w:kern w:val="21"/>
                <w:sz w:val="21"/>
                <w:szCs w:val="21"/>
                <w:u w:val="single"/>
              </w:rPr>
            </w:pPr>
          </w:p>
        </w:tc>
        <w:tc>
          <w:tcPr>
            <w:tcW w:w="993"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pStyle w:val="55"/>
              <w:spacing w:line="240" w:lineRule="auto"/>
              <w:rPr>
                <w:rFonts w:hAnsi="宋体" w:cs="宋体"/>
                <w:snapToGrid w:val="0"/>
                <w:kern w:val="21"/>
                <w:sz w:val="21"/>
                <w:szCs w:val="21"/>
                <w:u w:val="single"/>
              </w:rPr>
            </w:pPr>
          </w:p>
        </w:tc>
        <w:tc>
          <w:tcPr>
            <w:tcW w:w="1559" w:type="dxa"/>
            <w:noWrap/>
            <w:vAlign w:val="center"/>
          </w:tcPr>
          <w:p>
            <w:pPr>
              <w:adjustRightInd w:val="0"/>
              <w:snapToGrid w:val="0"/>
              <w:jc w:val="center"/>
              <w:rPr>
                <w:rFonts w:hint="default" w:ascii="宋体" w:hAnsi="宋体" w:eastAsiaTheme="minorEastAsia"/>
                <w:szCs w:val="21"/>
                <w:u w:val="single"/>
                <w:lang w:val="en-US" w:eastAsia="zh-CN"/>
              </w:rPr>
            </w:pPr>
            <w:r>
              <w:rPr>
                <w:rFonts w:hint="eastAsia" w:ascii="宋体" w:hAnsi="宋体"/>
                <w:szCs w:val="21"/>
                <w:u w:val="single"/>
                <w:lang w:val="en-US" w:eastAsia="zh-CN"/>
              </w:rPr>
              <w:t>0.25</w:t>
            </w:r>
          </w:p>
        </w:tc>
        <w:tc>
          <w:tcPr>
            <w:tcW w:w="1701" w:type="dxa"/>
            <w:noWrap/>
            <w:vAlign w:val="center"/>
          </w:tcPr>
          <w:p>
            <w:pPr>
              <w:pStyle w:val="55"/>
              <w:spacing w:line="240" w:lineRule="auto"/>
              <w:rPr>
                <w:rFonts w:hAnsi="宋体" w:cs="宋体"/>
                <w:snapToGrid w:val="0"/>
                <w:kern w:val="21"/>
                <w:sz w:val="21"/>
                <w:szCs w:val="21"/>
                <w:u w:val="single"/>
              </w:rPr>
            </w:pPr>
          </w:p>
        </w:tc>
        <w:tc>
          <w:tcPr>
            <w:tcW w:w="1985"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0.25</w:t>
            </w:r>
          </w:p>
        </w:tc>
        <w:tc>
          <w:tcPr>
            <w:tcW w:w="1427" w:type="dxa"/>
            <w:noWrap/>
            <w:vAlign w:val="center"/>
          </w:tcPr>
          <w:p>
            <w:pPr>
              <w:adjustRightInd w:val="0"/>
              <w:snapToGrid w:val="0"/>
              <w:jc w:val="center"/>
              <w:rPr>
                <w:rFonts w:hint="default" w:ascii="宋体" w:hAnsi="宋体" w:eastAsiaTheme="minorEastAsia" w:cstheme="minorBidi"/>
                <w:kern w:val="2"/>
                <w:sz w:val="21"/>
                <w:szCs w:val="21"/>
                <w:u w:val="single"/>
                <w:lang w:val="en-US" w:eastAsia="zh-CN" w:bidi="ar-SA"/>
              </w:rPr>
            </w:pPr>
            <w:r>
              <w:rPr>
                <w:rFonts w:hint="eastAsia" w:ascii="宋体" w:hAnsi="宋体"/>
                <w:szCs w:val="21"/>
                <w:u w:val="single"/>
                <w:lang w:val="en-US" w:eastAsia="zh-CN"/>
              </w:rPr>
              <w:t>+0.25</w:t>
            </w:r>
          </w:p>
        </w:tc>
      </w:tr>
    </w:tbl>
    <w:p>
      <w:pPr>
        <w:pStyle w:val="55"/>
        <w:jc w:val="left"/>
        <w:rPr>
          <w:u w:val="single"/>
        </w:rPr>
      </w:pPr>
      <w:r>
        <w:rPr>
          <w:rFonts w:hAnsi="宋体"/>
          <w:snapToGrid w:val="0"/>
          <w:kern w:val="21"/>
          <w:szCs w:val="21"/>
          <w:u w:val="single"/>
        </w:rPr>
        <w:t>注：</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6 \* GB3 \* MERGEFORMAT </w:instrText>
      </w:r>
      <w:r>
        <w:rPr>
          <w:rFonts w:hAnsi="宋体"/>
          <w:snapToGrid w:val="0"/>
          <w:spacing w:val="-16"/>
          <w:kern w:val="21"/>
          <w:szCs w:val="21"/>
          <w:u w:val="single"/>
        </w:rPr>
        <w:fldChar w:fldCharType="separate"/>
      </w:r>
      <w:r>
        <w:rPr>
          <w:rFonts w:hint="eastAsia" w:hAnsi="宋体"/>
          <w:szCs w:val="21"/>
          <w:u w:val="single"/>
        </w:rPr>
        <w:t>⑥</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1 \* GB3 \* MERGEFORMAT </w:instrText>
      </w:r>
      <w:r>
        <w:rPr>
          <w:rFonts w:hAnsi="宋体"/>
          <w:snapToGrid w:val="0"/>
          <w:spacing w:val="-6"/>
          <w:kern w:val="21"/>
          <w:szCs w:val="21"/>
          <w:u w:val="single"/>
        </w:rPr>
        <w:fldChar w:fldCharType="separate"/>
      </w:r>
      <w:r>
        <w:rPr>
          <w:rFonts w:hint="eastAsia" w:hAnsi="宋体"/>
          <w:szCs w:val="21"/>
          <w:u w:val="single"/>
        </w:rPr>
        <w:t>①</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3 \* GB3 \* MERGEFORMAT </w:instrText>
      </w:r>
      <w:r>
        <w:rPr>
          <w:rFonts w:hAnsi="宋体"/>
          <w:snapToGrid w:val="0"/>
          <w:spacing w:val="-6"/>
          <w:kern w:val="21"/>
          <w:szCs w:val="21"/>
          <w:u w:val="single"/>
        </w:rPr>
        <w:fldChar w:fldCharType="separate"/>
      </w:r>
      <w:r>
        <w:rPr>
          <w:rFonts w:hint="eastAsia" w:hAnsi="宋体"/>
          <w:szCs w:val="21"/>
          <w:u w:val="single"/>
        </w:rPr>
        <w:t>③</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4 \* GB3 \* MERGEFORMAT </w:instrText>
      </w:r>
      <w:r>
        <w:rPr>
          <w:rFonts w:hAnsi="宋体"/>
          <w:snapToGrid w:val="0"/>
          <w:spacing w:val="-6"/>
          <w:kern w:val="21"/>
          <w:szCs w:val="21"/>
          <w:u w:val="single"/>
        </w:rPr>
        <w:fldChar w:fldCharType="separate"/>
      </w:r>
      <w:r>
        <w:rPr>
          <w:rFonts w:hint="eastAsia" w:hAnsi="宋体"/>
          <w:szCs w:val="21"/>
          <w:u w:val="single"/>
        </w:rPr>
        <w:t>④</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5 \* GB3 \* MERGEFORMAT </w:instrText>
      </w:r>
      <w:r>
        <w:rPr>
          <w:rFonts w:hAnsi="宋体"/>
          <w:snapToGrid w:val="0"/>
          <w:spacing w:val="-16"/>
          <w:kern w:val="21"/>
          <w:szCs w:val="21"/>
          <w:u w:val="single"/>
        </w:rPr>
        <w:fldChar w:fldCharType="separate"/>
      </w:r>
      <w:r>
        <w:rPr>
          <w:rFonts w:hint="eastAsia" w:hAnsi="宋体"/>
          <w:szCs w:val="21"/>
          <w:u w:val="single"/>
        </w:rPr>
        <w:t>⑤</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7 \* GB3 \* MERGEFORMAT </w:instrText>
      </w:r>
      <w:r>
        <w:rPr>
          <w:rFonts w:hAnsi="宋体"/>
          <w:snapToGrid w:val="0"/>
          <w:spacing w:val="-6"/>
          <w:kern w:val="21"/>
          <w:szCs w:val="21"/>
          <w:u w:val="single"/>
        </w:rPr>
        <w:fldChar w:fldCharType="separate"/>
      </w:r>
      <w:r>
        <w:rPr>
          <w:rFonts w:hint="eastAsia" w:hAnsi="宋体"/>
          <w:szCs w:val="21"/>
          <w:u w:val="single"/>
        </w:rPr>
        <w:t>⑦</w:t>
      </w:r>
      <w:r>
        <w:rPr>
          <w:rFonts w:hAnsi="宋体"/>
          <w:snapToGrid w:val="0"/>
          <w:spacing w:val="-6"/>
          <w:kern w:val="21"/>
          <w:szCs w:val="21"/>
          <w:u w:val="single"/>
        </w:rPr>
        <w:fldChar w:fldCharType="end"/>
      </w:r>
      <w:r>
        <w:rPr>
          <w:rFonts w:hAnsi="宋体"/>
          <w:snapToGrid w:val="0"/>
          <w:spacing w:val="-6"/>
          <w:kern w:val="21"/>
          <w:szCs w:val="21"/>
          <w:u w:val="single"/>
        </w:rPr>
        <w:t>=</w:t>
      </w:r>
      <w:r>
        <w:rPr>
          <w:rFonts w:hAnsi="宋体"/>
          <w:snapToGrid w:val="0"/>
          <w:spacing w:val="-16"/>
          <w:kern w:val="21"/>
          <w:szCs w:val="21"/>
          <w:u w:val="single"/>
        </w:rPr>
        <w:fldChar w:fldCharType="begin"/>
      </w:r>
      <w:r>
        <w:rPr>
          <w:rFonts w:hAnsi="宋体"/>
          <w:snapToGrid w:val="0"/>
          <w:spacing w:val="-16"/>
          <w:kern w:val="21"/>
          <w:szCs w:val="21"/>
          <w:u w:val="single"/>
        </w:rPr>
        <w:instrText xml:space="preserve"> = 6 \* GB3 \* MERGEFORMAT </w:instrText>
      </w:r>
      <w:r>
        <w:rPr>
          <w:rFonts w:hAnsi="宋体"/>
          <w:snapToGrid w:val="0"/>
          <w:spacing w:val="-16"/>
          <w:kern w:val="21"/>
          <w:szCs w:val="21"/>
          <w:u w:val="single"/>
        </w:rPr>
        <w:fldChar w:fldCharType="separate"/>
      </w:r>
      <w:r>
        <w:rPr>
          <w:rFonts w:hint="eastAsia" w:hAnsi="宋体"/>
          <w:szCs w:val="21"/>
          <w:u w:val="single"/>
        </w:rPr>
        <w:t>⑥</w:t>
      </w:r>
      <w:r>
        <w:rPr>
          <w:rFonts w:hAnsi="宋体"/>
          <w:snapToGrid w:val="0"/>
          <w:spacing w:val="-16"/>
          <w:kern w:val="21"/>
          <w:szCs w:val="21"/>
          <w:u w:val="single"/>
        </w:rPr>
        <w:fldChar w:fldCharType="end"/>
      </w:r>
      <w:r>
        <w:rPr>
          <w:rFonts w:hAnsi="宋体"/>
          <w:snapToGrid w:val="0"/>
          <w:spacing w:val="-16"/>
          <w:kern w:val="21"/>
          <w:szCs w:val="21"/>
          <w:u w:val="single"/>
        </w:rPr>
        <w:t>-</w:t>
      </w:r>
      <w:r>
        <w:rPr>
          <w:rFonts w:hAnsi="宋体"/>
          <w:snapToGrid w:val="0"/>
          <w:spacing w:val="-6"/>
          <w:kern w:val="21"/>
          <w:szCs w:val="21"/>
          <w:u w:val="single"/>
        </w:rPr>
        <w:fldChar w:fldCharType="begin"/>
      </w:r>
      <w:r>
        <w:rPr>
          <w:rFonts w:hAnsi="宋体"/>
          <w:snapToGrid w:val="0"/>
          <w:spacing w:val="-6"/>
          <w:kern w:val="21"/>
          <w:szCs w:val="21"/>
          <w:u w:val="single"/>
        </w:rPr>
        <w:instrText xml:space="preserve"> = 1 \* GB3 \* MERGEFORMAT </w:instrText>
      </w:r>
      <w:r>
        <w:rPr>
          <w:rFonts w:hAnsi="宋体"/>
          <w:snapToGrid w:val="0"/>
          <w:spacing w:val="-6"/>
          <w:kern w:val="21"/>
          <w:szCs w:val="21"/>
          <w:u w:val="single"/>
        </w:rPr>
        <w:fldChar w:fldCharType="separate"/>
      </w:r>
      <w:r>
        <w:rPr>
          <w:rFonts w:hint="eastAsia" w:hAnsi="宋体"/>
          <w:szCs w:val="21"/>
          <w:u w:val="single"/>
        </w:rPr>
        <w:t>①</w:t>
      </w:r>
      <w:r>
        <w:rPr>
          <w:rFonts w:hAnsi="宋体"/>
          <w:snapToGrid w:val="0"/>
          <w:spacing w:val="-6"/>
          <w:kern w:val="21"/>
          <w:szCs w:val="21"/>
          <w:u w:val="single"/>
        </w:rPr>
        <w:fldChar w:fldCharType="end"/>
      </w:r>
    </w:p>
    <w:p>
      <w:pPr>
        <w:pStyle w:val="2"/>
        <w:ind w:firstLine="0" w:firstLineChars="0"/>
        <w:rPr>
          <w:rFonts w:ascii="Times New Roman" w:hAnsi="Times New Roman" w:cs="Times New Roman"/>
        </w:rPr>
      </w:pP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宋体e眠副浡渀.">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昆仑仿宋">
    <w:altName w:val="黑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49" o:spid="_x0000_s2049"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0.5pt" joinstyle="miter"/>
          <v:imagedata o:title=""/>
          <o:lock v:ext="edit"/>
          <v:textbox inset="0mm,0mm,0mm,0mm" style="mso-fit-shape-to-text:t;">
            <w:txbxContent>
              <w:p>
                <w:pPr>
                  <w:pStyle w:val="17"/>
                  <w:rPr>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60" o:spid="_x0000_s2060"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106</w:t>
                </w:r>
                <w:r>
                  <w:fldChar w:fldCharType="end"/>
                </w:r>
              </w:p>
            </w:txbxContent>
          </v:textbox>
        </v:shape>
      </w:pict>
    </w:r>
    <w:r>
      <w:pict>
        <v:shape id="_x0000_s2059" o:spid="_x0000_s2059"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weight="0.5pt" joinstyle="miter"/>
          <v:imagedata o:title=""/>
          <o:lock v:ext="edit"/>
          <v:textbox inset="0mm,0mm,0mm,0mm" style="mso-fit-shape-to-text:t;">
            <w:txbxContent>
              <w:p>
                <w:pPr>
                  <w:pStyle w:val="17"/>
                  <w:rPr>
                    <w:sz w:val="21"/>
                    <w:szCs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sz w:val="2"/>
      </w:rPr>
    </w:pPr>
    <w:r>
      <w:rPr>
        <w:rFonts w:ascii="宋体" w:hAnsi="宋体" w:eastAsia="宋体" w:cs="宋体"/>
        <w:sz w:val="2"/>
      </w:rPr>
      <w:pict>
        <v:shape id="_x0000_s2058" o:spid="_x0000_s2058"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joinstyle="miter"/>
          <v:imagedata o:title=""/>
          <o:lock v:ext="edit"/>
          <v:textbox inset="0mm,0mm,0mm,0mm" style="mso-fit-shape-to-text:t;">
            <w:txbxContent>
              <w:p>
                <w:pPr>
                  <w:tabs>
                    <w:tab w:val="center" w:pos="4153"/>
                    <w:tab w:val="right" w:pos="8306"/>
                  </w:tabs>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fldChar w:fldCharType="begin"/>
                </w:r>
                <w:r>
                  <w:rPr>
                    <w:rFonts w:hint="eastAsia" w:ascii="Times New Roman" w:hAnsi="Times New Roman" w:eastAsia="宋体" w:cs="Times New Roman"/>
                    <w:sz w:val="18"/>
                    <w:szCs w:val="18"/>
                  </w:rPr>
                  <w:instrText xml:space="preserve"> PAGE  \* MERGEFORMAT </w:instrText>
                </w:r>
                <w:r>
                  <w:rPr>
                    <w:rFonts w:hint="eastAsia" w:ascii="Times New Roman" w:hAnsi="Times New Roman" w:eastAsia="宋体" w:cs="Times New Roman"/>
                    <w:sz w:val="18"/>
                    <w:szCs w:val="18"/>
                  </w:rPr>
                  <w:fldChar w:fldCharType="separate"/>
                </w:r>
                <w:r>
                  <w:rPr>
                    <w:rFonts w:ascii="Times New Roman" w:hAnsi="Times New Roman" w:eastAsia="宋体" w:cs="Times New Roman"/>
                    <w:sz w:val="18"/>
                    <w:szCs w:val="18"/>
                  </w:rPr>
                  <w:t>108</w:t>
                </w:r>
                <w:r>
                  <w:rPr>
                    <w:rFonts w:hint="eastAsia" w:ascii="Times New Roman" w:hAnsi="Times New Roman" w:eastAsia="宋体" w:cs="Times New Roman"/>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4682C"/>
    <w:multiLevelType w:val="singleLevel"/>
    <w:tmpl w:val="B694682C"/>
    <w:lvl w:ilvl="0" w:tentative="0">
      <w:start w:val="1"/>
      <w:numFmt w:val="decimal"/>
      <w:suff w:val="nothing"/>
      <w:lvlText w:val="（%1）"/>
      <w:lvlJc w:val="left"/>
    </w:lvl>
  </w:abstractNum>
  <w:abstractNum w:abstractNumId="1">
    <w:nsid w:val="C7EEF608"/>
    <w:multiLevelType w:val="singleLevel"/>
    <w:tmpl w:val="C7EEF608"/>
    <w:lvl w:ilvl="0" w:tentative="0">
      <w:start w:val="3"/>
      <w:numFmt w:val="decimal"/>
      <w:suff w:val="nothing"/>
      <w:lvlText w:val="%1、"/>
      <w:lvlJc w:val="left"/>
    </w:lvl>
  </w:abstractNum>
  <w:abstractNum w:abstractNumId="2">
    <w:nsid w:val="DDC6BB4C"/>
    <w:multiLevelType w:val="singleLevel"/>
    <w:tmpl w:val="DDC6BB4C"/>
    <w:lvl w:ilvl="0" w:tentative="0">
      <w:start w:val="1"/>
      <w:numFmt w:val="chineseCounting"/>
      <w:suff w:val="nothing"/>
      <w:lvlText w:val="%1、"/>
      <w:lvlJc w:val="left"/>
      <w:rPr>
        <w:rFonts w:hint="eastAsia"/>
      </w:rPr>
    </w:lvl>
  </w:abstractNum>
  <w:abstractNum w:abstractNumId="3">
    <w:nsid w:val="DF64C95E"/>
    <w:multiLevelType w:val="singleLevel"/>
    <w:tmpl w:val="DF64C95E"/>
    <w:lvl w:ilvl="0" w:tentative="0">
      <w:start w:val="6"/>
      <w:numFmt w:val="decimal"/>
      <w:suff w:val="nothing"/>
      <w:lvlText w:val="（%1）"/>
      <w:lvlJc w:val="left"/>
    </w:lvl>
  </w:abstractNum>
  <w:abstractNum w:abstractNumId="4">
    <w:nsid w:val="19FA3B63"/>
    <w:multiLevelType w:val="multilevel"/>
    <w:tmpl w:val="19FA3B63"/>
    <w:lvl w:ilvl="0" w:tentative="0">
      <w:start w:val="1"/>
      <w:numFmt w:val="decimal"/>
      <w:pStyle w:val="33"/>
      <w:lvlText w:val="表%1"/>
      <w:lvlJc w:val="left"/>
      <w:pPr>
        <w:ind w:left="1979"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505B58"/>
    <w:multiLevelType w:val="singleLevel"/>
    <w:tmpl w:val="1A505B58"/>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6">
    <w:nsid w:val="353EB64F"/>
    <w:multiLevelType w:val="singleLevel"/>
    <w:tmpl w:val="353EB64F"/>
    <w:lvl w:ilvl="0" w:tentative="0">
      <w:start w:val="1"/>
      <w:numFmt w:val="decimal"/>
      <w:suff w:val="nothing"/>
      <w:lvlText w:val="%1、"/>
      <w:lvlJc w:val="left"/>
    </w:lvl>
  </w:abstractNum>
  <w:abstractNum w:abstractNumId="7">
    <w:nsid w:val="3801DFC4"/>
    <w:multiLevelType w:val="singleLevel"/>
    <w:tmpl w:val="3801DFC4"/>
    <w:lvl w:ilvl="0" w:tentative="0">
      <w:start w:val="8"/>
      <w:numFmt w:val="decimal"/>
      <w:suff w:val="nothing"/>
      <w:lvlText w:val="%1、"/>
      <w:lvlJc w:val="left"/>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lNjAxMWRlNTQyZGFmYTFjYWE2ODkzN2IwYWM3MTUifQ=="/>
  </w:docVars>
  <w:rsids>
    <w:rsidRoot w:val="116C5891"/>
    <w:rsid w:val="00014DB7"/>
    <w:rsid w:val="00051527"/>
    <w:rsid w:val="000624FA"/>
    <w:rsid w:val="00080FFF"/>
    <w:rsid w:val="000C14C5"/>
    <w:rsid w:val="000C1FF9"/>
    <w:rsid w:val="000E1E41"/>
    <w:rsid w:val="000E69E7"/>
    <w:rsid w:val="000E79E5"/>
    <w:rsid w:val="00106F73"/>
    <w:rsid w:val="001108BA"/>
    <w:rsid w:val="00155351"/>
    <w:rsid w:val="00162319"/>
    <w:rsid w:val="001637E4"/>
    <w:rsid w:val="001A11D8"/>
    <w:rsid w:val="001D04A4"/>
    <w:rsid w:val="001F0EE7"/>
    <w:rsid w:val="001F445D"/>
    <w:rsid w:val="001F7A29"/>
    <w:rsid w:val="002218D3"/>
    <w:rsid w:val="00224B30"/>
    <w:rsid w:val="002302C2"/>
    <w:rsid w:val="00237F17"/>
    <w:rsid w:val="002607CC"/>
    <w:rsid w:val="00270436"/>
    <w:rsid w:val="00284008"/>
    <w:rsid w:val="00286EBD"/>
    <w:rsid w:val="002A3CCE"/>
    <w:rsid w:val="002B2C0E"/>
    <w:rsid w:val="002E3DA8"/>
    <w:rsid w:val="002E425C"/>
    <w:rsid w:val="002E6920"/>
    <w:rsid w:val="002F2DC7"/>
    <w:rsid w:val="00325D8F"/>
    <w:rsid w:val="003577A2"/>
    <w:rsid w:val="003709B0"/>
    <w:rsid w:val="003E354B"/>
    <w:rsid w:val="003E73DF"/>
    <w:rsid w:val="003F565B"/>
    <w:rsid w:val="00411DF3"/>
    <w:rsid w:val="00474E2E"/>
    <w:rsid w:val="004D0337"/>
    <w:rsid w:val="004D2B35"/>
    <w:rsid w:val="004D3149"/>
    <w:rsid w:val="004D6899"/>
    <w:rsid w:val="004F509E"/>
    <w:rsid w:val="00502760"/>
    <w:rsid w:val="00515BBB"/>
    <w:rsid w:val="00573E50"/>
    <w:rsid w:val="005A0EFC"/>
    <w:rsid w:val="005A6517"/>
    <w:rsid w:val="005A7208"/>
    <w:rsid w:val="005C7ADE"/>
    <w:rsid w:val="005E565F"/>
    <w:rsid w:val="0060164C"/>
    <w:rsid w:val="00652436"/>
    <w:rsid w:val="006528ED"/>
    <w:rsid w:val="00692FA7"/>
    <w:rsid w:val="006D75C1"/>
    <w:rsid w:val="006E0287"/>
    <w:rsid w:val="006F0F37"/>
    <w:rsid w:val="006F6505"/>
    <w:rsid w:val="007060E2"/>
    <w:rsid w:val="0072623E"/>
    <w:rsid w:val="00733E26"/>
    <w:rsid w:val="00755ED3"/>
    <w:rsid w:val="00784A3A"/>
    <w:rsid w:val="007C3143"/>
    <w:rsid w:val="007E5806"/>
    <w:rsid w:val="007E6207"/>
    <w:rsid w:val="008051B4"/>
    <w:rsid w:val="0080787F"/>
    <w:rsid w:val="00831E7F"/>
    <w:rsid w:val="008357C7"/>
    <w:rsid w:val="00875C04"/>
    <w:rsid w:val="00884535"/>
    <w:rsid w:val="008A31B2"/>
    <w:rsid w:val="008B14FA"/>
    <w:rsid w:val="008C3653"/>
    <w:rsid w:val="00900C09"/>
    <w:rsid w:val="00905C77"/>
    <w:rsid w:val="00911722"/>
    <w:rsid w:val="0093417D"/>
    <w:rsid w:val="00941828"/>
    <w:rsid w:val="0098419A"/>
    <w:rsid w:val="009A13B3"/>
    <w:rsid w:val="009A5FA3"/>
    <w:rsid w:val="009C7FFB"/>
    <w:rsid w:val="009D030B"/>
    <w:rsid w:val="009D0EA3"/>
    <w:rsid w:val="009E7E10"/>
    <w:rsid w:val="009F02D9"/>
    <w:rsid w:val="009F7788"/>
    <w:rsid w:val="00A12741"/>
    <w:rsid w:val="00A67D58"/>
    <w:rsid w:val="00A87E95"/>
    <w:rsid w:val="00A922D1"/>
    <w:rsid w:val="00AB5C75"/>
    <w:rsid w:val="00B078A3"/>
    <w:rsid w:val="00BD38F6"/>
    <w:rsid w:val="00BF25EF"/>
    <w:rsid w:val="00C13F5B"/>
    <w:rsid w:val="00C654D3"/>
    <w:rsid w:val="00C70639"/>
    <w:rsid w:val="00C801D4"/>
    <w:rsid w:val="00C86145"/>
    <w:rsid w:val="00CA5B21"/>
    <w:rsid w:val="00CA7C58"/>
    <w:rsid w:val="00CD7049"/>
    <w:rsid w:val="00CF629B"/>
    <w:rsid w:val="00CF76ED"/>
    <w:rsid w:val="00D074CA"/>
    <w:rsid w:val="00D12400"/>
    <w:rsid w:val="00D35C61"/>
    <w:rsid w:val="00D56158"/>
    <w:rsid w:val="00D70859"/>
    <w:rsid w:val="00DB116F"/>
    <w:rsid w:val="00DE499B"/>
    <w:rsid w:val="00DE7F03"/>
    <w:rsid w:val="00E47DEF"/>
    <w:rsid w:val="00E56FEB"/>
    <w:rsid w:val="00E645F8"/>
    <w:rsid w:val="00E73D0D"/>
    <w:rsid w:val="00E80A9E"/>
    <w:rsid w:val="00E8103B"/>
    <w:rsid w:val="00E84928"/>
    <w:rsid w:val="00E92051"/>
    <w:rsid w:val="00E94AB3"/>
    <w:rsid w:val="00EB0966"/>
    <w:rsid w:val="00EC4DAF"/>
    <w:rsid w:val="00ED685F"/>
    <w:rsid w:val="00EE0184"/>
    <w:rsid w:val="00F02B4F"/>
    <w:rsid w:val="00F1142D"/>
    <w:rsid w:val="00F1726C"/>
    <w:rsid w:val="00F211EF"/>
    <w:rsid w:val="00F3110E"/>
    <w:rsid w:val="00F3330B"/>
    <w:rsid w:val="00F455A6"/>
    <w:rsid w:val="00F72C73"/>
    <w:rsid w:val="00F77796"/>
    <w:rsid w:val="00FB6A8C"/>
    <w:rsid w:val="010942E8"/>
    <w:rsid w:val="011E0236"/>
    <w:rsid w:val="01243C35"/>
    <w:rsid w:val="01253372"/>
    <w:rsid w:val="012B64AF"/>
    <w:rsid w:val="01341807"/>
    <w:rsid w:val="0136557F"/>
    <w:rsid w:val="013E4434"/>
    <w:rsid w:val="01400612"/>
    <w:rsid w:val="014E3892"/>
    <w:rsid w:val="0156352C"/>
    <w:rsid w:val="015A3E73"/>
    <w:rsid w:val="015D0D5E"/>
    <w:rsid w:val="01600513"/>
    <w:rsid w:val="0165773B"/>
    <w:rsid w:val="016814B1"/>
    <w:rsid w:val="01710365"/>
    <w:rsid w:val="01763BCE"/>
    <w:rsid w:val="017A355E"/>
    <w:rsid w:val="01813C46"/>
    <w:rsid w:val="01916C5A"/>
    <w:rsid w:val="01A56261"/>
    <w:rsid w:val="01B464A4"/>
    <w:rsid w:val="01C26E13"/>
    <w:rsid w:val="01C71945"/>
    <w:rsid w:val="01C963F3"/>
    <w:rsid w:val="01D65B05"/>
    <w:rsid w:val="01D924CB"/>
    <w:rsid w:val="02084511"/>
    <w:rsid w:val="020E3E06"/>
    <w:rsid w:val="022330E8"/>
    <w:rsid w:val="022A6766"/>
    <w:rsid w:val="022E6257"/>
    <w:rsid w:val="0236335D"/>
    <w:rsid w:val="02374AF6"/>
    <w:rsid w:val="0242314F"/>
    <w:rsid w:val="02431959"/>
    <w:rsid w:val="024617F2"/>
    <w:rsid w:val="02493090"/>
    <w:rsid w:val="024F07D4"/>
    <w:rsid w:val="02502671"/>
    <w:rsid w:val="02557C87"/>
    <w:rsid w:val="025832D3"/>
    <w:rsid w:val="025D6B3C"/>
    <w:rsid w:val="025E05D3"/>
    <w:rsid w:val="026568C8"/>
    <w:rsid w:val="02720839"/>
    <w:rsid w:val="027E39B3"/>
    <w:rsid w:val="028112BB"/>
    <w:rsid w:val="028642E4"/>
    <w:rsid w:val="02881E0B"/>
    <w:rsid w:val="028A0D24"/>
    <w:rsid w:val="028E3199"/>
    <w:rsid w:val="02902A6D"/>
    <w:rsid w:val="02A75CB6"/>
    <w:rsid w:val="02AA2805"/>
    <w:rsid w:val="02AF75D6"/>
    <w:rsid w:val="02B0537A"/>
    <w:rsid w:val="02B32E51"/>
    <w:rsid w:val="02B45EB8"/>
    <w:rsid w:val="02B823D3"/>
    <w:rsid w:val="02BE582C"/>
    <w:rsid w:val="02C02829"/>
    <w:rsid w:val="02C80459"/>
    <w:rsid w:val="02E5641E"/>
    <w:rsid w:val="02ED4DBD"/>
    <w:rsid w:val="02F92D08"/>
    <w:rsid w:val="02FA438B"/>
    <w:rsid w:val="02FC6355"/>
    <w:rsid w:val="030C175D"/>
    <w:rsid w:val="031554AB"/>
    <w:rsid w:val="031C0676"/>
    <w:rsid w:val="03280EF8"/>
    <w:rsid w:val="032B2809"/>
    <w:rsid w:val="032E7B21"/>
    <w:rsid w:val="032F4D26"/>
    <w:rsid w:val="0336518B"/>
    <w:rsid w:val="033C3706"/>
    <w:rsid w:val="034018FF"/>
    <w:rsid w:val="034F0B7A"/>
    <w:rsid w:val="035026A1"/>
    <w:rsid w:val="035122C7"/>
    <w:rsid w:val="03572CA7"/>
    <w:rsid w:val="035C5045"/>
    <w:rsid w:val="035D19DE"/>
    <w:rsid w:val="03627B33"/>
    <w:rsid w:val="03653EFA"/>
    <w:rsid w:val="0366145C"/>
    <w:rsid w:val="036D750E"/>
    <w:rsid w:val="03716D43"/>
    <w:rsid w:val="03724869"/>
    <w:rsid w:val="037F3D9D"/>
    <w:rsid w:val="03912F41"/>
    <w:rsid w:val="039E565E"/>
    <w:rsid w:val="03A16947"/>
    <w:rsid w:val="03C04BBB"/>
    <w:rsid w:val="03C30C20"/>
    <w:rsid w:val="03C829C1"/>
    <w:rsid w:val="03C964A9"/>
    <w:rsid w:val="03CE584C"/>
    <w:rsid w:val="03DC1A94"/>
    <w:rsid w:val="03E05C76"/>
    <w:rsid w:val="03E07A24"/>
    <w:rsid w:val="03E45C6D"/>
    <w:rsid w:val="03F07987"/>
    <w:rsid w:val="03F31506"/>
    <w:rsid w:val="03F359AA"/>
    <w:rsid w:val="03F84D6E"/>
    <w:rsid w:val="03FF435A"/>
    <w:rsid w:val="040A30FF"/>
    <w:rsid w:val="040A50F2"/>
    <w:rsid w:val="040D38A2"/>
    <w:rsid w:val="04222816"/>
    <w:rsid w:val="042E013C"/>
    <w:rsid w:val="04367644"/>
    <w:rsid w:val="043B10FF"/>
    <w:rsid w:val="044004C3"/>
    <w:rsid w:val="0449381C"/>
    <w:rsid w:val="04505516"/>
    <w:rsid w:val="045F1328"/>
    <w:rsid w:val="04640655"/>
    <w:rsid w:val="046C750A"/>
    <w:rsid w:val="046F066B"/>
    <w:rsid w:val="046F76DC"/>
    <w:rsid w:val="04722D72"/>
    <w:rsid w:val="0480090C"/>
    <w:rsid w:val="04813232"/>
    <w:rsid w:val="04861C45"/>
    <w:rsid w:val="048A6C53"/>
    <w:rsid w:val="048C4F84"/>
    <w:rsid w:val="04900393"/>
    <w:rsid w:val="049727D9"/>
    <w:rsid w:val="04A130DC"/>
    <w:rsid w:val="04A171B4"/>
    <w:rsid w:val="04A42800"/>
    <w:rsid w:val="04A455C9"/>
    <w:rsid w:val="04AC5B58"/>
    <w:rsid w:val="04AD5B99"/>
    <w:rsid w:val="04AF048A"/>
    <w:rsid w:val="04B073F7"/>
    <w:rsid w:val="04B849E5"/>
    <w:rsid w:val="04B901A9"/>
    <w:rsid w:val="04BF588C"/>
    <w:rsid w:val="04CB2C07"/>
    <w:rsid w:val="04E27A9F"/>
    <w:rsid w:val="04E83035"/>
    <w:rsid w:val="04ED23F9"/>
    <w:rsid w:val="04F27A0F"/>
    <w:rsid w:val="04F66811"/>
    <w:rsid w:val="04FB0ECF"/>
    <w:rsid w:val="04FC43EA"/>
    <w:rsid w:val="05037796"/>
    <w:rsid w:val="050414F1"/>
    <w:rsid w:val="050463C4"/>
    <w:rsid w:val="05241B93"/>
    <w:rsid w:val="05393890"/>
    <w:rsid w:val="053C512E"/>
    <w:rsid w:val="054372AA"/>
    <w:rsid w:val="054B5A64"/>
    <w:rsid w:val="054C14B9"/>
    <w:rsid w:val="054D10EA"/>
    <w:rsid w:val="05544226"/>
    <w:rsid w:val="055C0CA4"/>
    <w:rsid w:val="056529FE"/>
    <w:rsid w:val="05672BE1"/>
    <w:rsid w:val="056E3497"/>
    <w:rsid w:val="057E12A3"/>
    <w:rsid w:val="058368B9"/>
    <w:rsid w:val="058535AB"/>
    <w:rsid w:val="05871A85"/>
    <w:rsid w:val="05940E2A"/>
    <w:rsid w:val="05962A91"/>
    <w:rsid w:val="059705B7"/>
    <w:rsid w:val="05973508"/>
    <w:rsid w:val="059D3E1F"/>
    <w:rsid w:val="05A607FA"/>
    <w:rsid w:val="05B41E98"/>
    <w:rsid w:val="05C0366A"/>
    <w:rsid w:val="05D05129"/>
    <w:rsid w:val="05DB4947"/>
    <w:rsid w:val="05E23BDD"/>
    <w:rsid w:val="05F176DA"/>
    <w:rsid w:val="05F477B7"/>
    <w:rsid w:val="05FB6D97"/>
    <w:rsid w:val="06040976"/>
    <w:rsid w:val="06055D25"/>
    <w:rsid w:val="060E6ACB"/>
    <w:rsid w:val="061805C3"/>
    <w:rsid w:val="061E0B8A"/>
    <w:rsid w:val="06361B7E"/>
    <w:rsid w:val="063B3638"/>
    <w:rsid w:val="063D4CBA"/>
    <w:rsid w:val="06422F76"/>
    <w:rsid w:val="064918B1"/>
    <w:rsid w:val="0654535D"/>
    <w:rsid w:val="065E2E82"/>
    <w:rsid w:val="06620BC5"/>
    <w:rsid w:val="06636A6F"/>
    <w:rsid w:val="06651661"/>
    <w:rsid w:val="066E0546"/>
    <w:rsid w:val="0671705A"/>
    <w:rsid w:val="067A507D"/>
    <w:rsid w:val="067B1F1D"/>
    <w:rsid w:val="06851866"/>
    <w:rsid w:val="068648B3"/>
    <w:rsid w:val="068F5608"/>
    <w:rsid w:val="06954AF6"/>
    <w:rsid w:val="06A764CF"/>
    <w:rsid w:val="06A8287E"/>
    <w:rsid w:val="06B156A8"/>
    <w:rsid w:val="06B46E17"/>
    <w:rsid w:val="06B64308"/>
    <w:rsid w:val="06B700F0"/>
    <w:rsid w:val="06B81CBC"/>
    <w:rsid w:val="06BA76CD"/>
    <w:rsid w:val="06BB2961"/>
    <w:rsid w:val="06C23411"/>
    <w:rsid w:val="06D8216A"/>
    <w:rsid w:val="06DA4A0D"/>
    <w:rsid w:val="06E72539"/>
    <w:rsid w:val="06EB43B9"/>
    <w:rsid w:val="0700284C"/>
    <w:rsid w:val="070C28DE"/>
    <w:rsid w:val="070E153F"/>
    <w:rsid w:val="07140111"/>
    <w:rsid w:val="071869F6"/>
    <w:rsid w:val="071B0024"/>
    <w:rsid w:val="071C464A"/>
    <w:rsid w:val="071E2D6C"/>
    <w:rsid w:val="0733430F"/>
    <w:rsid w:val="0736402E"/>
    <w:rsid w:val="073836D3"/>
    <w:rsid w:val="074540E1"/>
    <w:rsid w:val="0748600C"/>
    <w:rsid w:val="074D3623"/>
    <w:rsid w:val="075229E7"/>
    <w:rsid w:val="0753050D"/>
    <w:rsid w:val="07591FC8"/>
    <w:rsid w:val="075948B2"/>
    <w:rsid w:val="077F0FA8"/>
    <w:rsid w:val="077F257F"/>
    <w:rsid w:val="07857FE1"/>
    <w:rsid w:val="07862691"/>
    <w:rsid w:val="07927268"/>
    <w:rsid w:val="07935DF3"/>
    <w:rsid w:val="07A120FB"/>
    <w:rsid w:val="07A1566A"/>
    <w:rsid w:val="07A416FF"/>
    <w:rsid w:val="07BC2556"/>
    <w:rsid w:val="07C136C9"/>
    <w:rsid w:val="07C444C0"/>
    <w:rsid w:val="07D30A31"/>
    <w:rsid w:val="07D64E78"/>
    <w:rsid w:val="07DD3714"/>
    <w:rsid w:val="07E1193E"/>
    <w:rsid w:val="07EC5385"/>
    <w:rsid w:val="07F03A77"/>
    <w:rsid w:val="07F65A68"/>
    <w:rsid w:val="07FC0BA5"/>
    <w:rsid w:val="08114650"/>
    <w:rsid w:val="08153DCE"/>
    <w:rsid w:val="082333B0"/>
    <w:rsid w:val="082C65EE"/>
    <w:rsid w:val="082D23AB"/>
    <w:rsid w:val="08314CF2"/>
    <w:rsid w:val="083B791F"/>
    <w:rsid w:val="08404F36"/>
    <w:rsid w:val="08470072"/>
    <w:rsid w:val="0852733F"/>
    <w:rsid w:val="085378CF"/>
    <w:rsid w:val="08566507"/>
    <w:rsid w:val="08597DA5"/>
    <w:rsid w:val="0865499C"/>
    <w:rsid w:val="087566B7"/>
    <w:rsid w:val="087F5A5E"/>
    <w:rsid w:val="088C58EF"/>
    <w:rsid w:val="08A2371F"/>
    <w:rsid w:val="08A52FEB"/>
    <w:rsid w:val="08BF7A74"/>
    <w:rsid w:val="08C97D36"/>
    <w:rsid w:val="08CC1CF1"/>
    <w:rsid w:val="08D062B9"/>
    <w:rsid w:val="08D613F6"/>
    <w:rsid w:val="08D8516E"/>
    <w:rsid w:val="08DF474E"/>
    <w:rsid w:val="08E044CE"/>
    <w:rsid w:val="08E9404F"/>
    <w:rsid w:val="08EE17E9"/>
    <w:rsid w:val="08F11B50"/>
    <w:rsid w:val="08F63FD0"/>
    <w:rsid w:val="08FC5BC6"/>
    <w:rsid w:val="08FE7E80"/>
    <w:rsid w:val="090D303B"/>
    <w:rsid w:val="090E0B90"/>
    <w:rsid w:val="09157156"/>
    <w:rsid w:val="09171238"/>
    <w:rsid w:val="09181A0E"/>
    <w:rsid w:val="091A5787"/>
    <w:rsid w:val="091B505B"/>
    <w:rsid w:val="091C32AD"/>
    <w:rsid w:val="091F4B4B"/>
    <w:rsid w:val="0923593D"/>
    <w:rsid w:val="092F5E40"/>
    <w:rsid w:val="0931503F"/>
    <w:rsid w:val="09326C73"/>
    <w:rsid w:val="09385C0D"/>
    <w:rsid w:val="0939134F"/>
    <w:rsid w:val="093B3FDD"/>
    <w:rsid w:val="09480908"/>
    <w:rsid w:val="09483476"/>
    <w:rsid w:val="095A6844"/>
    <w:rsid w:val="096133B5"/>
    <w:rsid w:val="09646104"/>
    <w:rsid w:val="096E17BA"/>
    <w:rsid w:val="097053A7"/>
    <w:rsid w:val="097F2104"/>
    <w:rsid w:val="098652FF"/>
    <w:rsid w:val="098A5D75"/>
    <w:rsid w:val="099077F7"/>
    <w:rsid w:val="09932349"/>
    <w:rsid w:val="09965E81"/>
    <w:rsid w:val="09A11A04"/>
    <w:rsid w:val="09A432A2"/>
    <w:rsid w:val="09AA18C7"/>
    <w:rsid w:val="09C97C67"/>
    <w:rsid w:val="09D122E9"/>
    <w:rsid w:val="09D45935"/>
    <w:rsid w:val="09D53326"/>
    <w:rsid w:val="09DE5456"/>
    <w:rsid w:val="09E46037"/>
    <w:rsid w:val="09E85EAC"/>
    <w:rsid w:val="09F9539C"/>
    <w:rsid w:val="0A03621B"/>
    <w:rsid w:val="0A0E2C3D"/>
    <w:rsid w:val="0A1347B8"/>
    <w:rsid w:val="0A157CFC"/>
    <w:rsid w:val="0A1A107C"/>
    <w:rsid w:val="0A200B7B"/>
    <w:rsid w:val="0A2166A1"/>
    <w:rsid w:val="0A2B2EE4"/>
    <w:rsid w:val="0A3208AE"/>
    <w:rsid w:val="0A36742C"/>
    <w:rsid w:val="0A446CFB"/>
    <w:rsid w:val="0A4C7BC2"/>
    <w:rsid w:val="0A5942C8"/>
    <w:rsid w:val="0A6D18E6"/>
    <w:rsid w:val="0A7F59C4"/>
    <w:rsid w:val="0A8C6210"/>
    <w:rsid w:val="0A9652E1"/>
    <w:rsid w:val="0A996A51"/>
    <w:rsid w:val="0AA25A34"/>
    <w:rsid w:val="0AAB2770"/>
    <w:rsid w:val="0AB867E1"/>
    <w:rsid w:val="0AB86FAD"/>
    <w:rsid w:val="0ABB08A3"/>
    <w:rsid w:val="0AC43BFC"/>
    <w:rsid w:val="0ACE4A7B"/>
    <w:rsid w:val="0AD06AC7"/>
    <w:rsid w:val="0AD17F88"/>
    <w:rsid w:val="0AD673A3"/>
    <w:rsid w:val="0AD72455"/>
    <w:rsid w:val="0ADB5FD1"/>
    <w:rsid w:val="0ADD4751"/>
    <w:rsid w:val="0AE05E8C"/>
    <w:rsid w:val="0AE40B42"/>
    <w:rsid w:val="0AEA0C42"/>
    <w:rsid w:val="0AEC06CF"/>
    <w:rsid w:val="0AF72E95"/>
    <w:rsid w:val="0AFA761E"/>
    <w:rsid w:val="0B022976"/>
    <w:rsid w:val="0B043FF8"/>
    <w:rsid w:val="0B0C10FF"/>
    <w:rsid w:val="0B1D155E"/>
    <w:rsid w:val="0B1E4F61"/>
    <w:rsid w:val="0B1F0525"/>
    <w:rsid w:val="0B253648"/>
    <w:rsid w:val="0B2621C1"/>
    <w:rsid w:val="0B275F39"/>
    <w:rsid w:val="0B2C102E"/>
    <w:rsid w:val="0B2E1C77"/>
    <w:rsid w:val="0B444D3D"/>
    <w:rsid w:val="0B47637E"/>
    <w:rsid w:val="0B48482D"/>
    <w:rsid w:val="0B4F7789"/>
    <w:rsid w:val="0B510EC7"/>
    <w:rsid w:val="0B561A73"/>
    <w:rsid w:val="0B5D7BAD"/>
    <w:rsid w:val="0B5F1B77"/>
    <w:rsid w:val="0B641DA7"/>
    <w:rsid w:val="0B765416"/>
    <w:rsid w:val="0B770D5A"/>
    <w:rsid w:val="0B776EC0"/>
    <w:rsid w:val="0B7E233A"/>
    <w:rsid w:val="0B811422"/>
    <w:rsid w:val="0B867103"/>
    <w:rsid w:val="0B8A149F"/>
    <w:rsid w:val="0B907F82"/>
    <w:rsid w:val="0B925AA8"/>
    <w:rsid w:val="0B93537C"/>
    <w:rsid w:val="0B9432B1"/>
    <w:rsid w:val="0B9F1C6E"/>
    <w:rsid w:val="0BA04D7C"/>
    <w:rsid w:val="0BA457DB"/>
    <w:rsid w:val="0BA61553"/>
    <w:rsid w:val="0BAD62C1"/>
    <w:rsid w:val="0BAE21B6"/>
    <w:rsid w:val="0BB04180"/>
    <w:rsid w:val="0BB2203E"/>
    <w:rsid w:val="0BB377CC"/>
    <w:rsid w:val="0BB73761"/>
    <w:rsid w:val="0BBC2B25"/>
    <w:rsid w:val="0BBE4019"/>
    <w:rsid w:val="0BCB4B16"/>
    <w:rsid w:val="0BCF2858"/>
    <w:rsid w:val="0BD020B2"/>
    <w:rsid w:val="0BD460C1"/>
    <w:rsid w:val="0BD53BE7"/>
    <w:rsid w:val="0BD66C09"/>
    <w:rsid w:val="0BD8489D"/>
    <w:rsid w:val="0BE107DE"/>
    <w:rsid w:val="0BEB51B8"/>
    <w:rsid w:val="0BED2CDE"/>
    <w:rsid w:val="0BF05890"/>
    <w:rsid w:val="0BF26547"/>
    <w:rsid w:val="0BF300BC"/>
    <w:rsid w:val="0C0149DC"/>
    <w:rsid w:val="0C0F0EA7"/>
    <w:rsid w:val="0C197CFA"/>
    <w:rsid w:val="0C1C35C4"/>
    <w:rsid w:val="0C1E10EA"/>
    <w:rsid w:val="0C1E17EC"/>
    <w:rsid w:val="0C201306"/>
    <w:rsid w:val="0C232BA4"/>
    <w:rsid w:val="0C2661F0"/>
    <w:rsid w:val="0C272694"/>
    <w:rsid w:val="0C2D757F"/>
    <w:rsid w:val="0C303624"/>
    <w:rsid w:val="0C322DE7"/>
    <w:rsid w:val="0C37664F"/>
    <w:rsid w:val="0C476893"/>
    <w:rsid w:val="0C4D7C21"/>
    <w:rsid w:val="0C526FE5"/>
    <w:rsid w:val="0C590374"/>
    <w:rsid w:val="0C5965C6"/>
    <w:rsid w:val="0C5E3BDC"/>
    <w:rsid w:val="0C601702"/>
    <w:rsid w:val="0C6805B7"/>
    <w:rsid w:val="0C756C7F"/>
    <w:rsid w:val="0C782EF0"/>
    <w:rsid w:val="0C7B653C"/>
    <w:rsid w:val="0C812744"/>
    <w:rsid w:val="0C851169"/>
    <w:rsid w:val="0C880C59"/>
    <w:rsid w:val="0C894687"/>
    <w:rsid w:val="0C8B1D5A"/>
    <w:rsid w:val="0C8E44C1"/>
    <w:rsid w:val="0C907472"/>
    <w:rsid w:val="0C9569EB"/>
    <w:rsid w:val="0C963317"/>
    <w:rsid w:val="0C9B1D93"/>
    <w:rsid w:val="0C9B273A"/>
    <w:rsid w:val="0CA02447"/>
    <w:rsid w:val="0CA61B23"/>
    <w:rsid w:val="0CAC0DEC"/>
    <w:rsid w:val="0CAD5053"/>
    <w:rsid w:val="0CB67574"/>
    <w:rsid w:val="0CBB61A6"/>
    <w:rsid w:val="0CCB15A6"/>
    <w:rsid w:val="0CCE439F"/>
    <w:rsid w:val="0CD44629"/>
    <w:rsid w:val="0CE1517F"/>
    <w:rsid w:val="0CF63E15"/>
    <w:rsid w:val="0CF956B3"/>
    <w:rsid w:val="0D0429D6"/>
    <w:rsid w:val="0D076022"/>
    <w:rsid w:val="0D091D9A"/>
    <w:rsid w:val="0D1150F2"/>
    <w:rsid w:val="0D1A7244"/>
    <w:rsid w:val="0D2D2176"/>
    <w:rsid w:val="0D2E35AF"/>
    <w:rsid w:val="0D2F7193"/>
    <w:rsid w:val="0D330BC5"/>
    <w:rsid w:val="0D411048"/>
    <w:rsid w:val="0D44062D"/>
    <w:rsid w:val="0D441024"/>
    <w:rsid w:val="0D466B4A"/>
    <w:rsid w:val="0D474670"/>
    <w:rsid w:val="0D5243A1"/>
    <w:rsid w:val="0D5D3E94"/>
    <w:rsid w:val="0D605732"/>
    <w:rsid w:val="0D6276FC"/>
    <w:rsid w:val="0D6E60A1"/>
    <w:rsid w:val="0D70088C"/>
    <w:rsid w:val="0D700D64"/>
    <w:rsid w:val="0D7129BB"/>
    <w:rsid w:val="0D7C07BE"/>
    <w:rsid w:val="0D8532D6"/>
    <w:rsid w:val="0D8B0A01"/>
    <w:rsid w:val="0D923745"/>
    <w:rsid w:val="0D99736E"/>
    <w:rsid w:val="0DA25D4B"/>
    <w:rsid w:val="0DA4527B"/>
    <w:rsid w:val="0DA62B18"/>
    <w:rsid w:val="0DA675E9"/>
    <w:rsid w:val="0DA67D2E"/>
    <w:rsid w:val="0DB717F6"/>
    <w:rsid w:val="0DB77A48"/>
    <w:rsid w:val="0DB93D54"/>
    <w:rsid w:val="0DBB7B04"/>
    <w:rsid w:val="0DBD4932"/>
    <w:rsid w:val="0DC47726"/>
    <w:rsid w:val="0DC67D96"/>
    <w:rsid w:val="0DC83A03"/>
    <w:rsid w:val="0DCE08EE"/>
    <w:rsid w:val="0DCE33E5"/>
    <w:rsid w:val="0DCE6B40"/>
    <w:rsid w:val="0DD20AF6"/>
    <w:rsid w:val="0DD970CB"/>
    <w:rsid w:val="0DDF214F"/>
    <w:rsid w:val="0DE63748"/>
    <w:rsid w:val="0DF06BAE"/>
    <w:rsid w:val="0DF31E19"/>
    <w:rsid w:val="0DF3324E"/>
    <w:rsid w:val="0DF66688"/>
    <w:rsid w:val="0DFA16E3"/>
    <w:rsid w:val="0E050738"/>
    <w:rsid w:val="0E19425F"/>
    <w:rsid w:val="0E19600D"/>
    <w:rsid w:val="0E1A6C88"/>
    <w:rsid w:val="0E1E7AC7"/>
    <w:rsid w:val="0E213113"/>
    <w:rsid w:val="0E264BEA"/>
    <w:rsid w:val="0E2F4A8A"/>
    <w:rsid w:val="0E342E47"/>
    <w:rsid w:val="0E3C6917"/>
    <w:rsid w:val="0E3F6421"/>
    <w:rsid w:val="0E405625"/>
    <w:rsid w:val="0E447340"/>
    <w:rsid w:val="0E451CEB"/>
    <w:rsid w:val="0E455F5D"/>
    <w:rsid w:val="0E4802A2"/>
    <w:rsid w:val="0E4D215A"/>
    <w:rsid w:val="0E4F1A2E"/>
    <w:rsid w:val="0E564460"/>
    <w:rsid w:val="0E63372C"/>
    <w:rsid w:val="0E6F0323"/>
    <w:rsid w:val="0E7B78BC"/>
    <w:rsid w:val="0E8A6F0A"/>
    <w:rsid w:val="0E8D07A9"/>
    <w:rsid w:val="0E8D2557"/>
    <w:rsid w:val="0E936C8D"/>
    <w:rsid w:val="0E9D6C3E"/>
    <w:rsid w:val="0EA16002"/>
    <w:rsid w:val="0EA24565"/>
    <w:rsid w:val="0EA76467"/>
    <w:rsid w:val="0EB21FBD"/>
    <w:rsid w:val="0EB74617"/>
    <w:rsid w:val="0EBB37EE"/>
    <w:rsid w:val="0EBC4BEA"/>
    <w:rsid w:val="0EC817E1"/>
    <w:rsid w:val="0ECC06FE"/>
    <w:rsid w:val="0ECF2B6F"/>
    <w:rsid w:val="0ED2246D"/>
    <w:rsid w:val="0ED308B1"/>
    <w:rsid w:val="0ED36AEC"/>
    <w:rsid w:val="0ED800D2"/>
    <w:rsid w:val="0EDE2EBA"/>
    <w:rsid w:val="0EDF64BB"/>
    <w:rsid w:val="0EE2686A"/>
    <w:rsid w:val="0EE92DAA"/>
    <w:rsid w:val="0EEC1973"/>
    <w:rsid w:val="0EED0A31"/>
    <w:rsid w:val="0EF12A7D"/>
    <w:rsid w:val="0EF96A7C"/>
    <w:rsid w:val="0EFC4D43"/>
    <w:rsid w:val="0F024CF3"/>
    <w:rsid w:val="0F092941"/>
    <w:rsid w:val="0F16079E"/>
    <w:rsid w:val="0F1D3D8B"/>
    <w:rsid w:val="0F242EBB"/>
    <w:rsid w:val="0F2743A8"/>
    <w:rsid w:val="0F2E0B64"/>
    <w:rsid w:val="0F3052B8"/>
    <w:rsid w:val="0F334EAC"/>
    <w:rsid w:val="0F423341"/>
    <w:rsid w:val="0F556ADB"/>
    <w:rsid w:val="0F557518"/>
    <w:rsid w:val="0F576C9E"/>
    <w:rsid w:val="0F6810EA"/>
    <w:rsid w:val="0F6C048F"/>
    <w:rsid w:val="0F7B4AA5"/>
    <w:rsid w:val="0F8E7B22"/>
    <w:rsid w:val="0F916077"/>
    <w:rsid w:val="0F953DB9"/>
    <w:rsid w:val="0F9B6042"/>
    <w:rsid w:val="0FA83AEC"/>
    <w:rsid w:val="0FAA22AF"/>
    <w:rsid w:val="0FAC4BF2"/>
    <w:rsid w:val="0FB945AA"/>
    <w:rsid w:val="0FBF2BE4"/>
    <w:rsid w:val="0FC471E7"/>
    <w:rsid w:val="0FCE72CB"/>
    <w:rsid w:val="0FD3139E"/>
    <w:rsid w:val="0FDD0E6A"/>
    <w:rsid w:val="0FDF6DE2"/>
    <w:rsid w:val="0FE10DAC"/>
    <w:rsid w:val="0FE95EB3"/>
    <w:rsid w:val="0FF54858"/>
    <w:rsid w:val="0FF7412C"/>
    <w:rsid w:val="10015DBA"/>
    <w:rsid w:val="10066A65"/>
    <w:rsid w:val="102D3FF1"/>
    <w:rsid w:val="10383495"/>
    <w:rsid w:val="103B1CEF"/>
    <w:rsid w:val="103E67BE"/>
    <w:rsid w:val="10401F77"/>
    <w:rsid w:val="10433692"/>
    <w:rsid w:val="104701BB"/>
    <w:rsid w:val="105960BA"/>
    <w:rsid w:val="105B0B5E"/>
    <w:rsid w:val="10675755"/>
    <w:rsid w:val="107140A3"/>
    <w:rsid w:val="10803007"/>
    <w:rsid w:val="10844F76"/>
    <w:rsid w:val="108856CC"/>
    <w:rsid w:val="108A4FA0"/>
    <w:rsid w:val="108A7D4D"/>
    <w:rsid w:val="108C51BC"/>
    <w:rsid w:val="109776BD"/>
    <w:rsid w:val="109C2904"/>
    <w:rsid w:val="109F7AFF"/>
    <w:rsid w:val="10A16D96"/>
    <w:rsid w:val="10AE2011"/>
    <w:rsid w:val="10AE2CC3"/>
    <w:rsid w:val="10B65164"/>
    <w:rsid w:val="10C5422A"/>
    <w:rsid w:val="10C710EF"/>
    <w:rsid w:val="10C76AC0"/>
    <w:rsid w:val="10CA1840"/>
    <w:rsid w:val="10D12BCF"/>
    <w:rsid w:val="10D4446D"/>
    <w:rsid w:val="10D551BC"/>
    <w:rsid w:val="10DC66E2"/>
    <w:rsid w:val="10E723F2"/>
    <w:rsid w:val="10EC5C5A"/>
    <w:rsid w:val="10F42D61"/>
    <w:rsid w:val="10FD71D1"/>
    <w:rsid w:val="111256BC"/>
    <w:rsid w:val="112214C8"/>
    <w:rsid w:val="11270A41"/>
    <w:rsid w:val="112A0531"/>
    <w:rsid w:val="1144541B"/>
    <w:rsid w:val="11474599"/>
    <w:rsid w:val="114A0BD3"/>
    <w:rsid w:val="114F1D45"/>
    <w:rsid w:val="11545CF6"/>
    <w:rsid w:val="11546E11"/>
    <w:rsid w:val="115953C8"/>
    <w:rsid w:val="115B06EA"/>
    <w:rsid w:val="116337A6"/>
    <w:rsid w:val="116577F2"/>
    <w:rsid w:val="116752E1"/>
    <w:rsid w:val="116C0B49"/>
    <w:rsid w:val="116C5891"/>
    <w:rsid w:val="116C6D9B"/>
    <w:rsid w:val="116D18AE"/>
    <w:rsid w:val="11755C50"/>
    <w:rsid w:val="11763776"/>
    <w:rsid w:val="1179066B"/>
    <w:rsid w:val="117B237E"/>
    <w:rsid w:val="11845E93"/>
    <w:rsid w:val="11851C0B"/>
    <w:rsid w:val="1193356B"/>
    <w:rsid w:val="11963E18"/>
    <w:rsid w:val="119B248D"/>
    <w:rsid w:val="119C5F08"/>
    <w:rsid w:val="119F2927"/>
    <w:rsid w:val="11A6405B"/>
    <w:rsid w:val="11B9758D"/>
    <w:rsid w:val="11BF6ECB"/>
    <w:rsid w:val="11D230A2"/>
    <w:rsid w:val="11D41EC5"/>
    <w:rsid w:val="11DB7DFC"/>
    <w:rsid w:val="11DD1A47"/>
    <w:rsid w:val="11E22BBA"/>
    <w:rsid w:val="11E3705D"/>
    <w:rsid w:val="11F12DFD"/>
    <w:rsid w:val="11F2153E"/>
    <w:rsid w:val="11FC3C7B"/>
    <w:rsid w:val="12047E6A"/>
    <w:rsid w:val="1208572A"/>
    <w:rsid w:val="120945EA"/>
    <w:rsid w:val="120F2F6C"/>
    <w:rsid w:val="12186DE8"/>
    <w:rsid w:val="12371343"/>
    <w:rsid w:val="12392983"/>
    <w:rsid w:val="123C0392"/>
    <w:rsid w:val="12503FC7"/>
    <w:rsid w:val="12527D3F"/>
    <w:rsid w:val="125661BD"/>
    <w:rsid w:val="12614426"/>
    <w:rsid w:val="126F08F1"/>
    <w:rsid w:val="127001C5"/>
    <w:rsid w:val="12706417"/>
    <w:rsid w:val="127777A6"/>
    <w:rsid w:val="12791770"/>
    <w:rsid w:val="127C3F7B"/>
    <w:rsid w:val="127E7135"/>
    <w:rsid w:val="12843C71"/>
    <w:rsid w:val="128B37BD"/>
    <w:rsid w:val="12902616"/>
    <w:rsid w:val="129C17F9"/>
    <w:rsid w:val="129C545E"/>
    <w:rsid w:val="129F36BE"/>
    <w:rsid w:val="12A32349"/>
    <w:rsid w:val="12AE1FE4"/>
    <w:rsid w:val="12B26A30"/>
    <w:rsid w:val="12B91B6C"/>
    <w:rsid w:val="12BF6218"/>
    <w:rsid w:val="12C1351E"/>
    <w:rsid w:val="12C81DAF"/>
    <w:rsid w:val="12CB7FA5"/>
    <w:rsid w:val="12DD25BE"/>
    <w:rsid w:val="12DD46A3"/>
    <w:rsid w:val="12DF75EA"/>
    <w:rsid w:val="12ED5CBA"/>
    <w:rsid w:val="12EE5D6C"/>
    <w:rsid w:val="12FB2185"/>
    <w:rsid w:val="12FE3A23"/>
    <w:rsid w:val="13053004"/>
    <w:rsid w:val="130970C4"/>
    <w:rsid w:val="130A23C8"/>
    <w:rsid w:val="13100591"/>
    <w:rsid w:val="13255454"/>
    <w:rsid w:val="1326458A"/>
    <w:rsid w:val="13312FBA"/>
    <w:rsid w:val="13333D5C"/>
    <w:rsid w:val="1336140F"/>
    <w:rsid w:val="13386F35"/>
    <w:rsid w:val="134778BF"/>
    <w:rsid w:val="13525B1D"/>
    <w:rsid w:val="1353762A"/>
    <w:rsid w:val="1360594A"/>
    <w:rsid w:val="13687C3A"/>
    <w:rsid w:val="136A10B9"/>
    <w:rsid w:val="136E2814"/>
    <w:rsid w:val="13714B85"/>
    <w:rsid w:val="137A7C32"/>
    <w:rsid w:val="13857CA0"/>
    <w:rsid w:val="13901C58"/>
    <w:rsid w:val="13917771"/>
    <w:rsid w:val="13961EAE"/>
    <w:rsid w:val="139E27B3"/>
    <w:rsid w:val="139F4BA8"/>
    <w:rsid w:val="13A66595"/>
    <w:rsid w:val="13A9398F"/>
    <w:rsid w:val="13AC347F"/>
    <w:rsid w:val="13AC3613"/>
    <w:rsid w:val="13B10A95"/>
    <w:rsid w:val="13B62550"/>
    <w:rsid w:val="13BA5E7C"/>
    <w:rsid w:val="13C46A1B"/>
    <w:rsid w:val="13C62516"/>
    <w:rsid w:val="13CB075B"/>
    <w:rsid w:val="13D03611"/>
    <w:rsid w:val="13D053C0"/>
    <w:rsid w:val="13D074FC"/>
    <w:rsid w:val="13D71E25"/>
    <w:rsid w:val="13D80718"/>
    <w:rsid w:val="13DA7FEC"/>
    <w:rsid w:val="13DC4242"/>
    <w:rsid w:val="13DD6D55"/>
    <w:rsid w:val="13E03AF5"/>
    <w:rsid w:val="13E43D52"/>
    <w:rsid w:val="13F912AF"/>
    <w:rsid w:val="13FA1CDF"/>
    <w:rsid w:val="1404150D"/>
    <w:rsid w:val="14042A4C"/>
    <w:rsid w:val="1404348D"/>
    <w:rsid w:val="14054F31"/>
    <w:rsid w:val="14193449"/>
    <w:rsid w:val="141F184B"/>
    <w:rsid w:val="14223144"/>
    <w:rsid w:val="1427103E"/>
    <w:rsid w:val="14283DE0"/>
    <w:rsid w:val="142851FC"/>
    <w:rsid w:val="142B1385"/>
    <w:rsid w:val="142E658A"/>
    <w:rsid w:val="143F0797"/>
    <w:rsid w:val="144933C4"/>
    <w:rsid w:val="14515DD5"/>
    <w:rsid w:val="145C30F7"/>
    <w:rsid w:val="145C3ADA"/>
    <w:rsid w:val="14661FE7"/>
    <w:rsid w:val="14663893"/>
    <w:rsid w:val="1468384A"/>
    <w:rsid w:val="1475249B"/>
    <w:rsid w:val="147532AD"/>
    <w:rsid w:val="1487776D"/>
    <w:rsid w:val="14904B4F"/>
    <w:rsid w:val="14905962"/>
    <w:rsid w:val="14972381"/>
    <w:rsid w:val="14A00F6C"/>
    <w:rsid w:val="14B00D4D"/>
    <w:rsid w:val="14B31163"/>
    <w:rsid w:val="14B338CD"/>
    <w:rsid w:val="14BC49BE"/>
    <w:rsid w:val="14BD74FC"/>
    <w:rsid w:val="14CD18FF"/>
    <w:rsid w:val="14D709D0"/>
    <w:rsid w:val="14DC1398"/>
    <w:rsid w:val="14DE58BA"/>
    <w:rsid w:val="14ED2C22"/>
    <w:rsid w:val="14EF3F6B"/>
    <w:rsid w:val="14FA3656"/>
    <w:rsid w:val="14FB2910"/>
    <w:rsid w:val="14FB56DC"/>
    <w:rsid w:val="15033898"/>
    <w:rsid w:val="150E6457"/>
    <w:rsid w:val="150F3CBC"/>
    <w:rsid w:val="1511219A"/>
    <w:rsid w:val="151412DC"/>
    <w:rsid w:val="15311E8E"/>
    <w:rsid w:val="1533692A"/>
    <w:rsid w:val="1536734E"/>
    <w:rsid w:val="153951E6"/>
    <w:rsid w:val="15447178"/>
    <w:rsid w:val="15477903"/>
    <w:rsid w:val="154871D8"/>
    <w:rsid w:val="15520056"/>
    <w:rsid w:val="1552390B"/>
    <w:rsid w:val="155344FA"/>
    <w:rsid w:val="15542020"/>
    <w:rsid w:val="155E69FB"/>
    <w:rsid w:val="1568787A"/>
    <w:rsid w:val="156C2EC6"/>
    <w:rsid w:val="156D6C3E"/>
    <w:rsid w:val="156F5830"/>
    <w:rsid w:val="15704C38"/>
    <w:rsid w:val="157645D8"/>
    <w:rsid w:val="15777DC9"/>
    <w:rsid w:val="157B135B"/>
    <w:rsid w:val="1582093B"/>
    <w:rsid w:val="158277D7"/>
    <w:rsid w:val="158533BE"/>
    <w:rsid w:val="15911928"/>
    <w:rsid w:val="1596136A"/>
    <w:rsid w:val="159643E7"/>
    <w:rsid w:val="159F6E1C"/>
    <w:rsid w:val="15A24BAA"/>
    <w:rsid w:val="15A27B86"/>
    <w:rsid w:val="15B4486D"/>
    <w:rsid w:val="15B66018"/>
    <w:rsid w:val="15B74EC5"/>
    <w:rsid w:val="15B76283"/>
    <w:rsid w:val="15BA3EE0"/>
    <w:rsid w:val="15BC10CD"/>
    <w:rsid w:val="15C31294"/>
    <w:rsid w:val="15C73A33"/>
    <w:rsid w:val="15CC1BB7"/>
    <w:rsid w:val="15D078F9"/>
    <w:rsid w:val="15D61A08"/>
    <w:rsid w:val="15D62A35"/>
    <w:rsid w:val="15D942D4"/>
    <w:rsid w:val="15DF730C"/>
    <w:rsid w:val="15E3096C"/>
    <w:rsid w:val="15E46F00"/>
    <w:rsid w:val="15EE4223"/>
    <w:rsid w:val="15EF58A5"/>
    <w:rsid w:val="160202FE"/>
    <w:rsid w:val="16027CCE"/>
    <w:rsid w:val="160550C9"/>
    <w:rsid w:val="160615EC"/>
    <w:rsid w:val="16096967"/>
    <w:rsid w:val="16101D7E"/>
    <w:rsid w:val="161672D6"/>
    <w:rsid w:val="16227A29"/>
    <w:rsid w:val="162C08A7"/>
    <w:rsid w:val="163F682C"/>
    <w:rsid w:val="16404EFB"/>
    <w:rsid w:val="16443E43"/>
    <w:rsid w:val="16445BF1"/>
    <w:rsid w:val="164E081E"/>
    <w:rsid w:val="16572E99"/>
    <w:rsid w:val="16666EA3"/>
    <w:rsid w:val="16696244"/>
    <w:rsid w:val="166D4AA9"/>
    <w:rsid w:val="166E7690"/>
    <w:rsid w:val="167209B0"/>
    <w:rsid w:val="16722A46"/>
    <w:rsid w:val="16806FA3"/>
    <w:rsid w:val="168626AD"/>
    <w:rsid w:val="16895CFA"/>
    <w:rsid w:val="168B77E6"/>
    <w:rsid w:val="169C5A2D"/>
    <w:rsid w:val="16B73E59"/>
    <w:rsid w:val="16B8213B"/>
    <w:rsid w:val="16BF34C9"/>
    <w:rsid w:val="16C065A9"/>
    <w:rsid w:val="16D305BD"/>
    <w:rsid w:val="16D52CED"/>
    <w:rsid w:val="16D639F6"/>
    <w:rsid w:val="16DD4FFB"/>
    <w:rsid w:val="16F45DB9"/>
    <w:rsid w:val="16F60F1F"/>
    <w:rsid w:val="16F72C63"/>
    <w:rsid w:val="16F93553"/>
    <w:rsid w:val="170D692B"/>
    <w:rsid w:val="17253E33"/>
    <w:rsid w:val="172A779C"/>
    <w:rsid w:val="173C696B"/>
    <w:rsid w:val="173D173B"/>
    <w:rsid w:val="173E22FB"/>
    <w:rsid w:val="17422243"/>
    <w:rsid w:val="17424826"/>
    <w:rsid w:val="17426262"/>
    <w:rsid w:val="174F1BF6"/>
    <w:rsid w:val="176D1177"/>
    <w:rsid w:val="176F7F3C"/>
    <w:rsid w:val="17797B1C"/>
    <w:rsid w:val="1785372B"/>
    <w:rsid w:val="178F5592"/>
    <w:rsid w:val="17942BA8"/>
    <w:rsid w:val="17984446"/>
    <w:rsid w:val="17AC7FA3"/>
    <w:rsid w:val="17B31280"/>
    <w:rsid w:val="17B47B13"/>
    <w:rsid w:val="17BB6387"/>
    <w:rsid w:val="17BE5353"/>
    <w:rsid w:val="17C43E04"/>
    <w:rsid w:val="17D074D8"/>
    <w:rsid w:val="17D11706"/>
    <w:rsid w:val="17D343F9"/>
    <w:rsid w:val="17E07B9B"/>
    <w:rsid w:val="17FA29BA"/>
    <w:rsid w:val="180B2F4B"/>
    <w:rsid w:val="180E4708"/>
    <w:rsid w:val="181635BD"/>
    <w:rsid w:val="18214C10"/>
    <w:rsid w:val="18214C16"/>
    <w:rsid w:val="18253800"/>
    <w:rsid w:val="182D67E4"/>
    <w:rsid w:val="183028D1"/>
    <w:rsid w:val="18312669"/>
    <w:rsid w:val="183643B8"/>
    <w:rsid w:val="183C74C7"/>
    <w:rsid w:val="18422604"/>
    <w:rsid w:val="18506ACF"/>
    <w:rsid w:val="185331C0"/>
    <w:rsid w:val="18550589"/>
    <w:rsid w:val="185B3F52"/>
    <w:rsid w:val="185F57DC"/>
    <w:rsid w:val="186121A5"/>
    <w:rsid w:val="18645FCC"/>
    <w:rsid w:val="1869193F"/>
    <w:rsid w:val="18695DE3"/>
    <w:rsid w:val="18724B24"/>
    <w:rsid w:val="187256A1"/>
    <w:rsid w:val="187568C7"/>
    <w:rsid w:val="187650CA"/>
    <w:rsid w:val="187A1D9E"/>
    <w:rsid w:val="187B753E"/>
    <w:rsid w:val="1881137E"/>
    <w:rsid w:val="18842C1C"/>
    <w:rsid w:val="18860743"/>
    <w:rsid w:val="18915E13"/>
    <w:rsid w:val="18925339"/>
    <w:rsid w:val="189A0B59"/>
    <w:rsid w:val="189B1C00"/>
    <w:rsid w:val="18A1557C"/>
    <w:rsid w:val="18A60DE5"/>
    <w:rsid w:val="18A64941"/>
    <w:rsid w:val="18AB1F57"/>
    <w:rsid w:val="18AC4F64"/>
    <w:rsid w:val="18B057C0"/>
    <w:rsid w:val="18B716AC"/>
    <w:rsid w:val="18C15C1F"/>
    <w:rsid w:val="18CD0120"/>
    <w:rsid w:val="18DF60A5"/>
    <w:rsid w:val="18E00334"/>
    <w:rsid w:val="18E23ED6"/>
    <w:rsid w:val="18E66E51"/>
    <w:rsid w:val="18EC5909"/>
    <w:rsid w:val="18F7519C"/>
    <w:rsid w:val="19023E8D"/>
    <w:rsid w:val="1903003E"/>
    <w:rsid w:val="19082FBB"/>
    <w:rsid w:val="19094ED0"/>
    <w:rsid w:val="190B50EC"/>
    <w:rsid w:val="1912647A"/>
    <w:rsid w:val="19173A91"/>
    <w:rsid w:val="191A5CC2"/>
    <w:rsid w:val="19254E0A"/>
    <w:rsid w:val="192B12EA"/>
    <w:rsid w:val="19320664"/>
    <w:rsid w:val="19371ACB"/>
    <w:rsid w:val="193B3AC8"/>
    <w:rsid w:val="193C7053"/>
    <w:rsid w:val="194A1770"/>
    <w:rsid w:val="19597463"/>
    <w:rsid w:val="195F6BF9"/>
    <w:rsid w:val="19600F94"/>
    <w:rsid w:val="19614D0C"/>
    <w:rsid w:val="19626624"/>
    <w:rsid w:val="19674B93"/>
    <w:rsid w:val="196842EC"/>
    <w:rsid w:val="19690C8E"/>
    <w:rsid w:val="196B243B"/>
    <w:rsid w:val="196D545F"/>
    <w:rsid w:val="19716780"/>
    <w:rsid w:val="197F542E"/>
    <w:rsid w:val="19805192"/>
    <w:rsid w:val="19834C82"/>
    <w:rsid w:val="1986136E"/>
    <w:rsid w:val="198C6EFD"/>
    <w:rsid w:val="19962C07"/>
    <w:rsid w:val="19A35324"/>
    <w:rsid w:val="19A54BF8"/>
    <w:rsid w:val="19A76508"/>
    <w:rsid w:val="19B42CAC"/>
    <w:rsid w:val="19B72C58"/>
    <w:rsid w:val="19B92850"/>
    <w:rsid w:val="19B968F6"/>
    <w:rsid w:val="19DA46E3"/>
    <w:rsid w:val="19DD25E4"/>
    <w:rsid w:val="19F45E47"/>
    <w:rsid w:val="19F8741E"/>
    <w:rsid w:val="19FD67E3"/>
    <w:rsid w:val="1A0758B3"/>
    <w:rsid w:val="1A0C4C78"/>
    <w:rsid w:val="1A177F64"/>
    <w:rsid w:val="1A200723"/>
    <w:rsid w:val="1A2024D1"/>
    <w:rsid w:val="1A2474DE"/>
    <w:rsid w:val="1A310B82"/>
    <w:rsid w:val="1A352B32"/>
    <w:rsid w:val="1A3B1A8D"/>
    <w:rsid w:val="1A4408B5"/>
    <w:rsid w:val="1A4564DF"/>
    <w:rsid w:val="1A473F02"/>
    <w:rsid w:val="1A50276F"/>
    <w:rsid w:val="1A580458"/>
    <w:rsid w:val="1AAE20CF"/>
    <w:rsid w:val="1AB41E66"/>
    <w:rsid w:val="1AC92B69"/>
    <w:rsid w:val="1AD433EB"/>
    <w:rsid w:val="1AD70929"/>
    <w:rsid w:val="1ADD03C2"/>
    <w:rsid w:val="1ADE4866"/>
    <w:rsid w:val="1AE94FB9"/>
    <w:rsid w:val="1AEE680D"/>
    <w:rsid w:val="1AEE7796"/>
    <w:rsid w:val="1AFA077C"/>
    <w:rsid w:val="1AFE6CB6"/>
    <w:rsid w:val="1B0342CC"/>
    <w:rsid w:val="1B046FF5"/>
    <w:rsid w:val="1B053753"/>
    <w:rsid w:val="1B252495"/>
    <w:rsid w:val="1B267688"/>
    <w:rsid w:val="1B2B1EBA"/>
    <w:rsid w:val="1B2D7593"/>
    <w:rsid w:val="1B300E3A"/>
    <w:rsid w:val="1B352B9B"/>
    <w:rsid w:val="1B3A5814"/>
    <w:rsid w:val="1B414DF5"/>
    <w:rsid w:val="1B475A03"/>
    <w:rsid w:val="1B4F7512"/>
    <w:rsid w:val="1B516A8C"/>
    <w:rsid w:val="1B5330D2"/>
    <w:rsid w:val="1B542D7A"/>
    <w:rsid w:val="1B572996"/>
    <w:rsid w:val="1B5E1809"/>
    <w:rsid w:val="1B613624"/>
    <w:rsid w:val="1B636B19"/>
    <w:rsid w:val="1B6A212A"/>
    <w:rsid w:val="1B6C5638"/>
    <w:rsid w:val="1B6F54BE"/>
    <w:rsid w:val="1B7009AC"/>
    <w:rsid w:val="1B7A20B5"/>
    <w:rsid w:val="1B7A3E63"/>
    <w:rsid w:val="1B7A52DC"/>
    <w:rsid w:val="1B825096"/>
    <w:rsid w:val="1B8C0A4C"/>
    <w:rsid w:val="1B94018A"/>
    <w:rsid w:val="1B950DC1"/>
    <w:rsid w:val="1B9728B5"/>
    <w:rsid w:val="1B9F38C9"/>
    <w:rsid w:val="1BA43ED6"/>
    <w:rsid w:val="1BA869C7"/>
    <w:rsid w:val="1BB83309"/>
    <w:rsid w:val="1BBC72B3"/>
    <w:rsid w:val="1BC4389B"/>
    <w:rsid w:val="1BC7354C"/>
    <w:rsid w:val="1BF17C3B"/>
    <w:rsid w:val="1BF65BDF"/>
    <w:rsid w:val="1BF955AF"/>
    <w:rsid w:val="1BFE4A94"/>
    <w:rsid w:val="1C0227D6"/>
    <w:rsid w:val="1C035416"/>
    <w:rsid w:val="1C061F3A"/>
    <w:rsid w:val="1C072045"/>
    <w:rsid w:val="1C077DEC"/>
    <w:rsid w:val="1C0A1D4A"/>
    <w:rsid w:val="1C0C5403"/>
    <w:rsid w:val="1C0F4FBA"/>
    <w:rsid w:val="1C114BDF"/>
    <w:rsid w:val="1C164F14"/>
    <w:rsid w:val="1C177904"/>
    <w:rsid w:val="1C273FEB"/>
    <w:rsid w:val="1C2A28E5"/>
    <w:rsid w:val="1C324B29"/>
    <w:rsid w:val="1C4526C3"/>
    <w:rsid w:val="1C47643B"/>
    <w:rsid w:val="1C502723"/>
    <w:rsid w:val="1C52189E"/>
    <w:rsid w:val="1C6A5624"/>
    <w:rsid w:val="1C6B037B"/>
    <w:rsid w:val="1C6E39C8"/>
    <w:rsid w:val="1C7430CC"/>
    <w:rsid w:val="1C7E6F56"/>
    <w:rsid w:val="1C8F0C6C"/>
    <w:rsid w:val="1C8F10A8"/>
    <w:rsid w:val="1C985803"/>
    <w:rsid w:val="1CB03007"/>
    <w:rsid w:val="1CB45790"/>
    <w:rsid w:val="1CBB0ED4"/>
    <w:rsid w:val="1CBD04AB"/>
    <w:rsid w:val="1CBD494F"/>
    <w:rsid w:val="1CC47A8B"/>
    <w:rsid w:val="1CC531B6"/>
    <w:rsid w:val="1CC7757C"/>
    <w:rsid w:val="1CCC4063"/>
    <w:rsid w:val="1CD76033"/>
    <w:rsid w:val="1CE1063D"/>
    <w:rsid w:val="1CE95744"/>
    <w:rsid w:val="1CEA3F89"/>
    <w:rsid w:val="1CEC0FCE"/>
    <w:rsid w:val="1CF739BD"/>
    <w:rsid w:val="1D014681"/>
    <w:rsid w:val="1D0D31E0"/>
    <w:rsid w:val="1D1463AF"/>
    <w:rsid w:val="1D282217"/>
    <w:rsid w:val="1D3544E5"/>
    <w:rsid w:val="1D3660BC"/>
    <w:rsid w:val="1D415550"/>
    <w:rsid w:val="1D4B5AB7"/>
    <w:rsid w:val="1D5232E9"/>
    <w:rsid w:val="1D692534"/>
    <w:rsid w:val="1D733EAC"/>
    <w:rsid w:val="1D741F07"/>
    <w:rsid w:val="1D74500E"/>
    <w:rsid w:val="1D750D86"/>
    <w:rsid w:val="1D774AFE"/>
    <w:rsid w:val="1D7C3E6A"/>
    <w:rsid w:val="1D813CEF"/>
    <w:rsid w:val="1D840FC9"/>
    <w:rsid w:val="1D864D41"/>
    <w:rsid w:val="1D8A029D"/>
    <w:rsid w:val="1D8A2164"/>
    <w:rsid w:val="1D8A348E"/>
    <w:rsid w:val="1D8B05A9"/>
    <w:rsid w:val="1DA022A7"/>
    <w:rsid w:val="1DA0560D"/>
    <w:rsid w:val="1DA67191"/>
    <w:rsid w:val="1DAC18C1"/>
    <w:rsid w:val="1DB0749B"/>
    <w:rsid w:val="1DB4365C"/>
    <w:rsid w:val="1DBC0763"/>
    <w:rsid w:val="1DBE272D"/>
    <w:rsid w:val="1DBF7BF5"/>
    <w:rsid w:val="1DD60A88"/>
    <w:rsid w:val="1DD7559C"/>
    <w:rsid w:val="1DDC1F50"/>
    <w:rsid w:val="1DE32193"/>
    <w:rsid w:val="1DED217A"/>
    <w:rsid w:val="1DED7125"/>
    <w:rsid w:val="1DF261E4"/>
    <w:rsid w:val="1DF4614E"/>
    <w:rsid w:val="1E0B7BC2"/>
    <w:rsid w:val="1E0E0E4E"/>
    <w:rsid w:val="1E12759A"/>
    <w:rsid w:val="1E166426"/>
    <w:rsid w:val="1E262080"/>
    <w:rsid w:val="1E291CFE"/>
    <w:rsid w:val="1E292CCF"/>
    <w:rsid w:val="1E2F2088"/>
    <w:rsid w:val="1E3C15C1"/>
    <w:rsid w:val="1E3D7AF5"/>
    <w:rsid w:val="1E3F55B8"/>
    <w:rsid w:val="1E403142"/>
    <w:rsid w:val="1E4E1D03"/>
    <w:rsid w:val="1E5037DD"/>
    <w:rsid w:val="1E571E85"/>
    <w:rsid w:val="1E58492F"/>
    <w:rsid w:val="1E5B441F"/>
    <w:rsid w:val="1E5F0FCE"/>
    <w:rsid w:val="1E6A4663"/>
    <w:rsid w:val="1E7752B7"/>
    <w:rsid w:val="1E7D6144"/>
    <w:rsid w:val="1E7E7090"/>
    <w:rsid w:val="1E844CEA"/>
    <w:rsid w:val="1E8C6387"/>
    <w:rsid w:val="1E911BEF"/>
    <w:rsid w:val="1E92374C"/>
    <w:rsid w:val="1E95356E"/>
    <w:rsid w:val="1E957931"/>
    <w:rsid w:val="1E97491F"/>
    <w:rsid w:val="1E9C288F"/>
    <w:rsid w:val="1E9D67E6"/>
    <w:rsid w:val="1EA27958"/>
    <w:rsid w:val="1EB91A91"/>
    <w:rsid w:val="1EBA2EF4"/>
    <w:rsid w:val="1EBB4750"/>
    <w:rsid w:val="1EBC3110"/>
    <w:rsid w:val="1EC45B21"/>
    <w:rsid w:val="1EC65D3D"/>
    <w:rsid w:val="1EE066D3"/>
    <w:rsid w:val="1EE12B77"/>
    <w:rsid w:val="1EE405FA"/>
    <w:rsid w:val="1EF34E2E"/>
    <w:rsid w:val="1EFA2C98"/>
    <w:rsid w:val="1EFA59E6"/>
    <w:rsid w:val="1EFD25CA"/>
    <w:rsid w:val="1EFE4A8F"/>
    <w:rsid w:val="1F050F12"/>
    <w:rsid w:val="1F08677B"/>
    <w:rsid w:val="1F0B46EA"/>
    <w:rsid w:val="1F1620F4"/>
    <w:rsid w:val="1F1864E1"/>
    <w:rsid w:val="1F1B3F0A"/>
    <w:rsid w:val="1F1F71FB"/>
    <w:rsid w:val="1F226CEB"/>
    <w:rsid w:val="1F262338"/>
    <w:rsid w:val="1F2962CC"/>
    <w:rsid w:val="1F2D1657"/>
    <w:rsid w:val="1F333B1E"/>
    <w:rsid w:val="1F3507CD"/>
    <w:rsid w:val="1F394761"/>
    <w:rsid w:val="1F3A6F3E"/>
    <w:rsid w:val="1F3C1B5B"/>
    <w:rsid w:val="1F3F33F9"/>
    <w:rsid w:val="1F3F789D"/>
    <w:rsid w:val="1F436688"/>
    <w:rsid w:val="1F4D1FBA"/>
    <w:rsid w:val="1F6115C2"/>
    <w:rsid w:val="1F615B2D"/>
    <w:rsid w:val="1F645556"/>
    <w:rsid w:val="1F69491A"/>
    <w:rsid w:val="1F6966C8"/>
    <w:rsid w:val="1F6D256E"/>
    <w:rsid w:val="1F775289"/>
    <w:rsid w:val="1F78429F"/>
    <w:rsid w:val="1F7F413E"/>
    <w:rsid w:val="1F8359DC"/>
    <w:rsid w:val="1F8A176C"/>
    <w:rsid w:val="1F8F25D3"/>
    <w:rsid w:val="1F8F4381"/>
    <w:rsid w:val="1F925BE1"/>
    <w:rsid w:val="1F954892"/>
    <w:rsid w:val="1F9762B3"/>
    <w:rsid w:val="1F9C6A9E"/>
    <w:rsid w:val="1FAA1465"/>
    <w:rsid w:val="1FB54BA1"/>
    <w:rsid w:val="1FBD7745"/>
    <w:rsid w:val="1FC4099F"/>
    <w:rsid w:val="1FCD0CAE"/>
    <w:rsid w:val="1FD004F5"/>
    <w:rsid w:val="1FD3605F"/>
    <w:rsid w:val="1FD47FE6"/>
    <w:rsid w:val="1FDF11FC"/>
    <w:rsid w:val="1FE8583F"/>
    <w:rsid w:val="1FEA7809"/>
    <w:rsid w:val="1FEB532F"/>
    <w:rsid w:val="1FED554B"/>
    <w:rsid w:val="1FF70178"/>
    <w:rsid w:val="1FF84498"/>
    <w:rsid w:val="1FFB37C4"/>
    <w:rsid w:val="1FFC578E"/>
    <w:rsid w:val="20032679"/>
    <w:rsid w:val="20041C8A"/>
    <w:rsid w:val="200F4397"/>
    <w:rsid w:val="20176124"/>
    <w:rsid w:val="20230728"/>
    <w:rsid w:val="202B4C70"/>
    <w:rsid w:val="202B54FC"/>
    <w:rsid w:val="202F402B"/>
    <w:rsid w:val="202F7912"/>
    <w:rsid w:val="203B0065"/>
    <w:rsid w:val="203B62B7"/>
    <w:rsid w:val="204A7214"/>
    <w:rsid w:val="204D2985"/>
    <w:rsid w:val="2054269E"/>
    <w:rsid w:val="205B0707"/>
    <w:rsid w:val="20624467"/>
    <w:rsid w:val="20656507"/>
    <w:rsid w:val="206749B4"/>
    <w:rsid w:val="206D3F96"/>
    <w:rsid w:val="20746A85"/>
    <w:rsid w:val="207F27A7"/>
    <w:rsid w:val="208F6653"/>
    <w:rsid w:val="20956523"/>
    <w:rsid w:val="20AB0F20"/>
    <w:rsid w:val="20AC3EB3"/>
    <w:rsid w:val="20B856F9"/>
    <w:rsid w:val="20C20786"/>
    <w:rsid w:val="20C462AC"/>
    <w:rsid w:val="20CD5313"/>
    <w:rsid w:val="20DD55C0"/>
    <w:rsid w:val="20E97AC1"/>
    <w:rsid w:val="20ED0053"/>
    <w:rsid w:val="20F070A1"/>
    <w:rsid w:val="20F6042F"/>
    <w:rsid w:val="21030097"/>
    <w:rsid w:val="211426F0"/>
    <w:rsid w:val="211C233A"/>
    <w:rsid w:val="211C7E96"/>
    <w:rsid w:val="2120725A"/>
    <w:rsid w:val="212136FE"/>
    <w:rsid w:val="21214D8B"/>
    <w:rsid w:val="213276BA"/>
    <w:rsid w:val="21376F96"/>
    <w:rsid w:val="213B4094"/>
    <w:rsid w:val="213E28C6"/>
    <w:rsid w:val="21426E78"/>
    <w:rsid w:val="21444D4E"/>
    <w:rsid w:val="21464F13"/>
    <w:rsid w:val="21496C5D"/>
    <w:rsid w:val="214B077B"/>
    <w:rsid w:val="21660640"/>
    <w:rsid w:val="21725D08"/>
    <w:rsid w:val="217E28FF"/>
    <w:rsid w:val="21837F15"/>
    <w:rsid w:val="2185702E"/>
    <w:rsid w:val="218617B3"/>
    <w:rsid w:val="21894E00"/>
    <w:rsid w:val="21902632"/>
    <w:rsid w:val="2190618E"/>
    <w:rsid w:val="2199566E"/>
    <w:rsid w:val="219C3A6F"/>
    <w:rsid w:val="219E5215"/>
    <w:rsid w:val="219F08E7"/>
    <w:rsid w:val="21AC3BEE"/>
    <w:rsid w:val="21AC5A91"/>
    <w:rsid w:val="21AD7BB8"/>
    <w:rsid w:val="21AE1E97"/>
    <w:rsid w:val="21AE6F1A"/>
    <w:rsid w:val="21B46321"/>
    <w:rsid w:val="21BE719F"/>
    <w:rsid w:val="21C36564"/>
    <w:rsid w:val="21C72E5E"/>
    <w:rsid w:val="21C81DCC"/>
    <w:rsid w:val="21D1510F"/>
    <w:rsid w:val="21E12E8E"/>
    <w:rsid w:val="21E208D2"/>
    <w:rsid w:val="21E309B4"/>
    <w:rsid w:val="21ED3D22"/>
    <w:rsid w:val="21F77FBB"/>
    <w:rsid w:val="21FA2A25"/>
    <w:rsid w:val="221026C4"/>
    <w:rsid w:val="22106519"/>
    <w:rsid w:val="221172D1"/>
    <w:rsid w:val="221922E6"/>
    <w:rsid w:val="221B26FB"/>
    <w:rsid w:val="221E379A"/>
    <w:rsid w:val="22234EBB"/>
    <w:rsid w:val="22237360"/>
    <w:rsid w:val="22280ABD"/>
    <w:rsid w:val="22301A1A"/>
    <w:rsid w:val="2231303B"/>
    <w:rsid w:val="22343730"/>
    <w:rsid w:val="22393715"/>
    <w:rsid w:val="223E3E3C"/>
    <w:rsid w:val="22403B74"/>
    <w:rsid w:val="22460F43"/>
    <w:rsid w:val="224805B1"/>
    <w:rsid w:val="2254540E"/>
    <w:rsid w:val="22575E31"/>
    <w:rsid w:val="225A426B"/>
    <w:rsid w:val="22631AF5"/>
    <w:rsid w:val="22722A3B"/>
    <w:rsid w:val="22745AB0"/>
    <w:rsid w:val="227503E2"/>
    <w:rsid w:val="228219CA"/>
    <w:rsid w:val="228F28EA"/>
    <w:rsid w:val="2296016F"/>
    <w:rsid w:val="229E2B2D"/>
    <w:rsid w:val="229F23FE"/>
    <w:rsid w:val="22A42E37"/>
    <w:rsid w:val="22A55C69"/>
    <w:rsid w:val="22AF6AE8"/>
    <w:rsid w:val="22C02AA3"/>
    <w:rsid w:val="22C132EB"/>
    <w:rsid w:val="22C457A6"/>
    <w:rsid w:val="22C75BE0"/>
    <w:rsid w:val="22CA1B74"/>
    <w:rsid w:val="22CD081E"/>
    <w:rsid w:val="22CF718A"/>
    <w:rsid w:val="22D12F02"/>
    <w:rsid w:val="22D13310"/>
    <w:rsid w:val="22DB78DD"/>
    <w:rsid w:val="22DE2AD5"/>
    <w:rsid w:val="22DF7DE5"/>
    <w:rsid w:val="22E10DA3"/>
    <w:rsid w:val="22E22A19"/>
    <w:rsid w:val="22E542B8"/>
    <w:rsid w:val="22E90452"/>
    <w:rsid w:val="22EC5646"/>
    <w:rsid w:val="22F17100"/>
    <w:rsid w:val="22F31D76"/>
    <w:rsid w:val="22FF181D"/>
    <w:rsid w:val="23034F6C"/>
    <w:rsid w:val="231132FF"/>
    <w:rsid w:val="231276C2"/>
    <w:rsid w:val="232A616E"/>
    <w:rsid w:val="232C638A"/>
    <w:rsid w:val="232D7E02"/>
    <w:rsid w:val="232F42D2"/>
    <w:rsid w:val="23525AC0"/>
    <w:rsid w:val="23530B52"/>
    <w:rsid w:val="2355768F"/>
    <w:rsid w:val="235651B5"/>
    <w:rsid w:val="235A6E60"/>
    <w:rsid w:val="235F22BC"/>
    <w:rsid w:val="2366189C"/>
    <w:rsid w:val="236E4F62"/>
    <w:rsid w:val="23843AD1"/>
    <w:rsid w:val="23850595"/>
    <w:rsid w:val="23947E72"/>
    <w:rsid w:val="23953EC0"/>
    <w:rsid w:val="23964A5E"/>
    <w:rsid w:val="239732CE"/>
    <w:rsid w:val="239F4DAE"/>
    <w:rsid w:val="23A3622C"/>
    <w:rsid w:val="23A423C5"/>
    <w:rsid w:val="23A979DB"/>
    <w:rsid w:val="23B2301F"/>
    <w:rsid w:val="23B4085A"/>
    <w:rsid w:val="23B40C3B"/>
    <w:rsid w:val="23B62F6A"/>
    <w:rsid w:val="23BC14BC"/>
    <w:rsid w:val="23BF0FAD"/>
    <w:rsid w:val="23C463ED"/>
    <w:rsid w:val="23C86D36"/>
    <w:rsid w:val="23D85A36"/>
    <w:rsid w:val="23D946F3"/>
    <w:rsid w:val="23E32115"/>
    <w:rsid w:val="23F13D6D"/>
    <w:rsid w:val="23F24EDE"/>
    <w:rsid w:val="23F549CE"/>
    <w:rsid w:val="23F65BA8"/>
    <w:rsid w:val="23F7298C"/>
    <w:rsid w:val="23F93B71"/>
    <w:rsid w:val="23F95193"/>
    <w:rsid w:val="23FA0237"/>
    <w:rsid w:val="23FC47EE"/>
    <w:rsid w:val="23FE282D"/>
    <w:rsid w:val="23FF584D"/>
    <w:rsid w:val="24042E63"/>
    <w:rsid w:val="240C3512"/>
    <w:rsid w:val="240D3AC6"/>
    <w:rsid w:val="241D19BD"/>
    <w:rsid w:val="241D24B4"/>
    <w:rsid w:val="241F1A4B"/>
    <w:rsid w:val="24213A15"/>
    <w:rsid w:val="242239E6"/>
    <w:rsid w:val="24267D0F"/>
    <w:rsid w:val="242816A1"/>
    <w:rsid w:val="242D5F16"/>
    <w:rsid w:val="2435126F"/>
    <w:rsid w:val="243F5C4A"/>
    <w:rsid w:val="2441528D"/>
    <w:rsid w:val="244F0B8A"/>
    <w:rsid w:val="245142FB"/>
    <w:rsid w:val="24547947"/>
    <w:rsid w:val="24594F5D"/>
    <w:rsid w:val="245C17F5"/>
    <w:rsid w:val="246D0A09"/>
    <w:rsid w:val="247022A7"/>
    <w:rsid w:val="247C6E9E"/>
    <w:rsid w:val="24890640"/>
    <w:rsid w:val="248C5333"/>
    <w:rsid w:val="24973CD7"/>
    <w:rsid w:val="249B1395"/>
    <w:rsid w:val="249C309C"/>
    <w:rsid w:val="249E0BC2"/>
    <w:rsid w:val="24AB3B37"/>
    <w:rsid w:val="24B30B11"/>
    <w:rsid w:val="24B9125D"/>
    <w:rsid w:val="24C94FC8"/>
    <w:rsid w:val="24CF3471"/>
    <w:rsid w:val="24D33D4B"/>
    <w:rsid w:val="24E85B0E"/>
    <w:rsid w:val="24E964E8"/>
    <w:rsid w:val="24F737AC"/>
    <w:rsid w:val="24F86524"/>
    <w:rsid w:val="2508581D"/>
    <w:rsid w:val="250D2688"/>
    <w:rsid w:val="250F386E"/>
    <w:rsid w:val="251327A8"/>
    <w:rsid w:val="25163AF5"/>
    <w:rsid w:val="2516749D"/>
    <w:rsid w:val="252217F3"/>
    <w:rsid w:val="25237319"/>
    <w:rsid w:val="25257535"/>
    <w:rsid w:val="252C2672"/>
    <w:rsid w:val="25460FFE"/>
    <w:rsid w:val="255231DD"/>
    <w:rsid w:val="255D6CCF"/>
    <w:rsid w:val="2561056D"/>
    <w:rsid w:val="256736AA"/>
    <w:rsid w:val="256865DD"/>
    <w:rsid w:val="256C5373"/>
    <w:rsid w:val="25740E92"/>
    <w:rsid w:val="25875AFA"/>
    <w:rsid w:val="258A1146"/>
    <w:rsid w:val="258B75EB"/>
    <w:rsid w:val="2596422C"/>
    <w:rsid w:val="259D531E"/>
    <w:rsid w:val="25A937A6"/>
    <w:rsid w:val="25AE7E68"/>
    <w:rsid w:val="25B06DFF"/>
    <w:rsid w:val="25B40F1A"/>
    <w:rsid w:val="25B635FC"/>
    <w:rsid w:val="25BC39F6"/>
    <w:rsid w:val="25C603D0"/>
    <w:rsid w:val="25D041CF"/>
    <w:rsid w:val="25D32AED"/>
    <w:rsid w:val="25D35D0F"/>
    <w:rsid w:val="25E116AE"/>
    <w:rsid w:val="25E22D30"/>
    <w:rsid w:val="25F1147C"/>
    <w:rsid w:val="25FC0296"/>
    <w:rsid w:val="25FD7B6A"/>
    <w:rsid w:val="26014233"/>
    <w:rsid w:val="26053FC3"/>
    <w:rsid w:val="260D5FFF"/>
    <w:rsid w:val="2610496B"/>
    <w:rsid w:val="2610789E"/>
    <w:rsid w:val="26116869"/>
    <w:rsid w:val="2612416F"/>
    <w:rsid w:val="261734E0"/>
    <w:rsid w:val="261A071C"/>
    <w:rsid w:val="261B5221"/>
    <w:rsid w:val="26261ABB"/>
    <w:rsid w:val="26280DF4"/>
    <w:rsid w:val="26317A35"/>
    <w:rsid w:val="26377520"/>
    <w:rsid w:val="263D0137"/>
    <w:rsid w:val="263D7F73"/>
    <w:rsid w:val="26404AB4"/>
    <w:rsid w:val="26455B2C"/>
    <w:rsid w:val="26457416"/>
    <w:rsid w:val="26580A91"/>
    <w:rsid w:val="266431BD"/>
    <w:rsid w:val="266A5519"/>
    <w:rsid w:val="266B0F78"/>
    <w:rsid w:val="267B5085"/>
    <w:rsid w:val="267E60E2"/>
    <w:rsid w:val="268325A1"/>
    <w:rsid w:val="26865DB2"/>
    <w:rsid w:val="26976211"/>
    <w:rsid w:val="26A10C53"/>
    <w:rsid w:val="26B11081"/>
    <w:rsid w:val="26B172D2"/>
    <w:rsid w:val="26B25CEC"/>
    <w:rsid w:val="26B26438"/>
    <w:rsid w:val="26B537A3"/>
    <w:rsid w:val="26BC4D90"/>
    <w:rsid w:val="26C03072"/>
    <w:rsid w:val="26CA3EF0"/>
    <w:rsid w:val="26D956B8"/>
    <w:rsid w:val="26DD51A9"/>
    <w:rsid w:val="26EB47CE"/>
    <w:rsid w:val="26F02B3E"/>
    <w:rsid w:val="26F66C6C"/>
    <w:rsid w:val="26F7280B"/>
    <w:rsid w:val="26F84502"/>
    <w:rsid w:val="26F96942"/>
    <w:rsid w:val="26FC7E22"/>
    <w:rsid w:val="2701389F"/>
    <w:rsid w:val="270E022C"/>
    <w:rsid w:val="270E64D3"/>
    <w:rsid w:val="27166E44"/>
    <w:rsid w:val="27167CA1"/>
    <w:rsid w:val="27271343"/>
    <w:rsid w:val="272F7D88"/>
    <w:rsid w:val="273306F3"/>
    <w:rsid w:val="27374E33"/>
    <w:rsid w:val="273B6E85"/>
    <w:rsid w:val="27451571"/>
    <w:rsid w:val="274A5031"/>
    <w:rsid w:val="27540DC8"/>
    <w:rsid w:val="275B0FEC"/>
    <w:rsid w:val="275E288B"/>
    <w:rsid w:val="27653C19"/>
    <w:rsid w:val="276911AA"/>
    <w:rsid w:val="276A5A12"/>
    <w:rsid w:val="277420AE"/>
    <w:rsid w:val="278C389C"/>
    <w:rsid w:val="278E09AF"/>
    <w:rsid w:val="278E4F1E"/>
    <w:rsid w:val="27914A0E"/>
    <w:rsid w:val="27926332"/>
    <w:rsid w:val="2795721C"/>
    <w:rsid w:val="279625AE"/>
    <w:rsid w:val="279A7D67"/>
    <w:rsid w:val="279D7857"/>
    <w:rsid w:val="279F712B"/>
    <w:rsid w:val="27A209C9"/>
    <w:rsid w:val="27B716B6"/>
    <w:rsid w:val="27BA031B"/>
    <w:rsid w:val="27BC29A0"/>
    <w:rsid w:val="27BC3C71"/>
    <w:rsid w:val="27C5304C"/>
    <w:rsid w:val="27C941A8"/>
    <w:rsid w:val="27D54F23"/>
    <w:rsid w:val="27E533D0"/>
    <w:rsid w:val="27EE725F"/>
    <w:rsid w:val="27F531EF"/>
    <w:rsid w:val="27F921C0"/>
    <w:rsid w:val="27FA25B3"/>
    <w:rsid w:val="28075567"/>
    <w:rsid w:val="28091DC1"/>
    <w:rsid w:val="28126A09"/>
    <w:rsid w:val="2813203C"/>
    <w:rsid w:val="28142ACC"/>
    <w:rsid w:val="28181047"/>
    <w:rsid w:val="28227628"/>
    <w:rsid w:val="28377363"/>
    <w:rsid w:val="28405372"/>
    <w:rsid w:val="28411544"/>
    <w:rsid w:val="28417C27"/>
    <w:rsid w:val="28445183"/>
    <w:rsid w:val="284C64E6"/>
    <w:rsid w:val="284D6B87"/>
    <w:rsid w:val="28626160"/>
    <w:rsid w:val="28687E65"/>
    <w:rsid w:val="286D7229"/>
    <w:rsid w:val="28784073"/>
    <w:rsid w:val="287C268A"/>
    <w:rsid w:val="288B76AF"/>
    <w:rsid w:val="288F719F"/>
    <w:rsid w:val="289447B6"/>
    <w:rsid w:val="289C129D"/>
    <w:rsid w:val="28AA153E"/>
    <w:rsid w:val="28AB403A"/>
    <w:rsid w:val="28B9132D"/>
    <w:rsid w:val="28C037FD"/>
    <w:rsid w:val="28C826B1"/>
    <w:rsid w:val="28E374EB"/>
    <w:rsid w:val="28EC17CE"/>
    <w:rsid w:val="28ED036A"/>
    <w:rsid w:val="28ED3EC6"/>
    <w:rsid w:val="28EE00BD"/>
    <w:rsid w:val="290838BC"/>
    <w:rsid w:val="29213115"/>
    <w:rsid w:val="29220014"/>
    <w:rsid w:val="29264159"/>
    <w:rsid w:val="292673D8"/>
    <w:rsid w:val="292B4B2C"/>
    <w:rsid w:val="293B2E83"/>
    <w:rsid w:val="293E4722"/>
    <w:rsid w:val="294378F8"/>
    <w:rsid w:val="29466967"/>
    <w:rsid w:val="295B1778"/>
    <w:rsid w:val="295D49CD"/>
    <w:rsid w:val="296820FE"/>
    <w:rsid w:val="296B6907"/>
    <w:rsid w:val="29767018"/>
    <w:rsid w:val="29775376"/>
    <w:rsid w:val="2988166B"/>
    <w:rsid w:val="299B55B5"/>
    <w:rsid w:val="29A46C7B"/>
    <w:rsid w:val="29A71810"/>
    <w:rsid w:val="29AE5D4B"/>
    <w:rsid w:val="29AF561F"/>
    <w:rsid w:val="29B36EBE"/>
    <w:rsid w:val="29B6075C"/>
    <w:rsid w:val="29B669AE"/>
    <w:rsid w:val="29C83614"/>
    <w:rsid w:val="29C93F04"/>
    <w:rsid w:val="29CD48CB"/>
    <w:rsid w:val="29CE1F49"/>
    <w:rsid w:val="29D07A70"/>
    <w:rsid w:val="29D37FED"/>
    <w:rsid w:val="29D46E34"/>
    <w:rsid w:val="29DA009F"/>
    <w:rsid w:val="29DA08EE"/>
    <w:rsid w:val="29DF5F05"/>
    <w:rsid w:val="29E37561"/>
    <w:rsid w:val="29EB0718"/>
    <w:rsid w:val="29EF3C6E"/>
    <w:rsid w:val="29F02AF8"/>
    <w:rsid w:val="29F4515F"/>
    <w:rsid w:val="29F955EA"/>
    <w:rsid w:val="29FA2D3E"/>
    <w:rsid w:val="2A0140CD"/>
    <w:rsid w:val="2A015401"/>
    <w:rsid w:val="2A0759F2"/>
    <w:rsid w:val="2A0E7ABB"/>
    <w:rsid w:val="2A11658D"/>
    <w:rsid w:val="2A1A6F3D"/>
    <w:rsid w:val="2A2058C6"/>
    <w:rsid w:val="2A263B34"/>
    <w:rsid w:val="2A271C73"/>
    <w:rsid w:val="2A3049B2"/>
    <w:rsid w:val="2A32072A"/>
    <w:rsid w:val="2A383867"/>
    <w:rsid w:val="2A3854E2"/>
    <w:rsid w:val="2A444630"/>
    <w:rsid w:val="2A4A2FC7"/>
    <w:rsid w:val="2A4B359A"/>
    <w:rsid w:val="2A4C25E8"/>
    <w:rsid w:val="2A4F4A23"/>
    <w:rsid w:val="2A5749AB"/>
    <w:rsid w:val="2A6333C0"/>
    <w:rsid w:val="2A662182"/>
    <w:rsid w:val="2A6D1219"/>
    <w:rsid w:val="2A6D3510"/>
    <w:rsid w:val="2A7E3970"/>
    <w:rsid w:val="2A813D65"/>
    <w:rsid w:val="2A842608"/>
    <w:rsid w:val="2A994305"/>
    <w:rsid w:val="2A9D61BE"/>
    <w:rsid w:val="2AA55E34"/>
    <w:rsid w:val="2AAB5DE7"/>
    <w:rsid w:val="2AB036C3"/>
    <w:rsid w:val="2AB27175"/>
    <w:rsid w:val="2ABC40B1"/>
    <w:rsid w:val="2ABE2E17"/>
    <w:rsid w:val="2ABF304C"/>
    <w:rsid w:val="2AC10363"/>
    <w:rsid w:val="2AC5334C"/>
    <w:rsid w:val="2AC944BF"/>
    <w:rsid w:val="2ACC1127"/>
    <w:rsid w:val="2ADB0F7F"/>
    <w:rsid w:val="2ADC2444"/>
    <w:rsid w:val="2AE259F1"/>
    <w:rsid w:val="2AE632C3"/>
    <w:rsid w:val="2AEB2687"/>
    <w:rsid w:val="2AED38D4"/>
    <w:rsid w:val="2AF7102C"/>
    <w:rsid w:val="2B0100FD"/>
    <w:rsid w:val="2B050C68"/>
    <w:rsid w:val="2B057BED"/>
    <w:rsid w:val="2B081E8F"/>
    <w:rsid w:val="2B0D4CF3"/>
    <w:rsid w:val="2B116592"/>
    <w:rsid w:val="2B190D1B"/>
    <w:rsid w:val="2B1B5A5D"/>
    <w:rsid w:val="2B284030"/>
    <w:rsid w:val="2B2D2CA0"/>
    <w:rsid w:val="2B30453E"/>
    <w:rsid w:val="2B312790"/>
    <w:rsid w:val="2B361B54"/>
    <w:rsid w:val="2B3D7387"/>
    <w:rsid w:val="2B432D21"/>
    <w:rsid w:val="2B54647E"/>
    <w:rsid w:val="2B5A55FB"/>
    <w:rsid w:val="2B6568DD"/>
    <w:rsid w:val="2B69017C"/>
    <w:rsid w:val="2B77216D"/>
    <w:rsid w:val="2B790267"/>
    <w:rsid w:val="2B81687D"/>
    <w:rsid w:val="2B8D7DA5"/>
    <w:rsid w:val="2B8E7BE2"/>
    <w:rsid w:val="2B910530"/>
    <w:rsid w:val="2BA33B3F"/>
    <w:rsid w:val="2BA50A88"/>
    <w:rsid w:val="2BA56CDA"/>
    <w:rsid w:val="2BA72A52"/>
    <w:rsid w:val="2BA80578"/>
    <w:rsid w:val="2BB37649"/>
    <w:rsid w:val="2BC41856"/>
    <w:rsid w:val="2BC929C8"/>
    <w:rsid w:val="2BCB6ACF"/>
    <w:rsid w:val="2BD355F5"/>
    <w:rsid w:val="2BE710A1"/>
    <w:rsid w:val="2BEE62DB"/>
    <w:rsid w:val="2BEE68D3"/>
    <w:rsid w:val="2BF8505C"/>
    <w:rsid w:val="2BFD25E4"/>
    <w:rsid w:val="2C18228A"/>
    <w:rsid w:val="2C1C51EE"/>
    <w:rsid w:val="2C1D2D14"/>
    <w:rsid w:val="2C1F6386"/>
    <w:rsid w:val="2C1F6A8C"/>
    <w:rsid w:val="2C230601"/>
    <w:rsid w:val="2C285DC0"/>
    <w:rsid w:val="2C293A84"/>
    <w:rsid w:val="2C2A3767"/>
    <w:rsid w:val="2C2E3173"/>
    <w:rsid w:val="2C37128D"/>
    <w:rsid w:val="2C3A0591"/>
    <w:rsid w:val="2C42277B"/>
    <w:rsid w:val="2C444745"/>
    <w:rsid w:val="2C4C35F9"/>
    <w:rsid w:val="2C581D28"/>
    <w:rsid w:val="2C583D4C"/>
    <w:rsid w:val="2C5A16F1"/>
    <w:rsid w:val="2C5F50DB"/>
    <w:rsid w:val="2C6A365C"/>
    <w:rsid w:val="2C6D5A4A"/>
    <w:rsid w:val="2C7A3CC3"/>
    <w:rsid w:val="2C840FE5"/>
    <w:rsid w:val="2C85708C"/>
    <w:rsid w:val="2C8607FA"/>
    <w:rsid w:val="2C8C39F6"/>
    <w:rsid w:val="2C8F634D"/>
    <w:rsid w:val="2C95124C"/>
    <w:rsid w:val="2C963BB6"/>
    <w:rsid w:val="2C9E3E55"/>
    <w:rsid w:val="2CA50ADA"/>
    <w:rsid w:val="2CAD34D9"/>
    <w:rsid w:val="2CAD5E46"/>
    <w:rsid w:val="2CAF6062"/>
    <w:rsid w:val="2CB106D8"/>
    <w:rsid w:val="2CB82A3D"/>
    <w:rsid w:val="2CC3566A"/>
    <w:rsid w:val="2CC43190"/>
    <w:rsid w:val="2CC633AC"/>
    <w:rsid w:val="2CC82C80"/>
    <w:rsid w:val="2CD418C9"/>
    <w:rsid w:val="2CD6293C"/>
    <w:rsid w:val="2CDA29B3"/>
    <w:rsid w:val="2CDF446E"/>
    <w:rsid w:val="2CE27809"/>
    <w:rsid w:val="2CEF2903"/>
    <w:rsid w:val="2CF27CFD"/>
    <w:rsid w:val="2CFC0B7C"/>
    <w:rsid w:val="2D095047"/>
    <w:rsid w:val="2D0C274C"/>
    <w:rsid w:val="2D1063D5"/>
    <w:rsid w:val="2D261EE1"/>
    <w:rsid w:val="2D26209C"/>
    <w:rsid w:val="2D302395"/>
    <w:rsid w:val="2D3A7525"/>
    <w:rsid w:val="2D3B78F6"/>
    <w:rsid w:val="2D3C71CA"/>
    <w:rsid w:val="2D406CBA"/>
    <w:rsid w:val="2D4B38B1"/>
    <w:rsid w:val="2D4D587B"/>
    <w:rsid w:val="2D4F514F"/>
    <w:rsid w:val="2D55028C"/>
    <w:rsid w:val="2D597D7C"/>
    <w:rsid w:val="2D5E5A5E"/>
    <w:rsid w:val="2D654973"/>
    <w:rsid w:val="2D6E540C"/>
    <w:rsid w:val="2D733E12"/>
    <w:rsid w:val="2D791E12"/>
    <w:rsid w:val="2D7A5401"/>
    <w:rsid w:val="2D7B23E8"/>
    <w:rsid w:val="2D8C1F00"/>
    <w:rsid w:val="2D9462B3"/>
    <w:rsid w:val="2D9A4CE6"/>
    <w:rsid w:val="2DA10252"/>
    <w:rsid w:val="2DA136E7"/>
    <w:rsid w:val="2DC005C2"/>
    <w:rsid w:val="2DC06AD1"/>
    <w:rsid w:val="2DC564F0"/>
    <w:rsid w:val="2DD77071"/>
    <w:rsid w:val="2DDD0666"/>
    <w:rsid w:val="2DDD09AD"/>
    <w:rsid w:val="2DDD6BFF"/>
    <w:rsid w:val="2DE55AB4"/>
    <w:rsid w:val="2DE75388"/>
    <w:rsid w:val="2DED2827"/>
    <w:rsid w:val="2DF6024F"/>
    <w:rsid w:val="2E0128D2"/>
    <w:rsid w:val="2E073C7C"/>
    <w:rsid w:val="2E093550"/>
    <w:rsid w:val="2E0956DD"/>
    <w:rsid w:val="2E1B14D5"/>
    <w:rsid w:val="2E262A34"/>
    <w:rsid w:val="2E2E1209"/>
    <w:rsid w:val="2E2E7FCB"/>
    <w:rsid w:val="2E335C4A"/>
    <w:rsid w:val="2E342474"/>
    <w:rsid w:val="2E404FEA"/>
    <w:rsid w:val="2E4A4F85"/>
    <w:rsid w:val="2E532A1D"/>
    <w:rsid w:val="2E552C39"/>
    <w:rsid w:val="2E5549E7"/>
    <w:rsid w:val="2E5E6788"/>
    <w:rsid w:val="2E675CC8"/>
    <w:rsid w:val="2E7F3812"/>
    <w:rsid w:val="2E8121D3"/>
    <w:rsid w:val="2E813A2E"/>
    <w:rsid w:val="2E827AA4"/>
    <w:rsid w:val="2E8452CD"/>
    <w:rsid w:val="2E862DF3"/>
    <w:rsid w:val="2E8C5F2F"/>
    <w:rsid w:val="2E913C08"/>
    <w:rsid w:val="2EA221C5"/>
    <w:rsid w:val="2EA27501"/>
    <w:rsid w:val="2EA65243"/>
    <w:rsid w:val="2EA96830"/>
    <w:rsid w:val="2EAE5EA6"/>
    <w:rsid w:val="2EB43D5E"/>
    <w:rsid w:val="2EC92CDF"/>
    <w:rsid w:val="2ED022C0"/>
    <w:rsid w:val="2EDF7FDA"/>
    <w:rsid w:val="2EE20341"/>
    <w:rsid w:val="2EE45D6B"/>
    <w:rsid w:val="2EEB70FA"/>
    <w:rsid w:val="2EEE2746"/>
    <w:rsid w:val="2EF35057"/>
    <w:rsid w:val="2EF75CAB"/>
    <w:rsid w:val="2EFB72B7"/>
    <w:rsid w:val="2EFF2BA5"/>
    <w:rsid w:val="2F087CAC"/>
    <w:rsid w:val="2F0D52C2"/>
    <w:rsid w:val="2F162BDB"/>
    <w:rsid w:val="2F1754B9"/>
    <w:rsid w:val="2F177EEF"/>
    <w:rsid w:val="2F1C3757"/>
    <w:rsid w:val="2F210D6D"/>
    <w:rsid w:val="2F283EAA"/>
    <w:rsid w:val="2F2A2B97"/>
    <w:rsid w:val="2F30159D"/>
    <w:rsid w:val="2F3471F1"/>
    <w:rsid w:val="2F400B84"/>
    <w:rsid w:val="2F4B7B98"/>
    <w:rsid w:val="2F5870A9"/>
    <w:rsid w:val="2F633134"/>
    <w:rsid w:val="2F7B0BEA"/>
    <w:rsid w:val="2F9331D6"/>
    <w:rsid w:val="2F9C453D"/>
    <w:rsid w:val="2FA07B60"/>
    <w:rsid w:val="2FA63021"/>
    <w:rsid w:val="2FB50D39"/>
    <w:rsid w:val="2FB53924"/>
    <w:rsid w:val="2FB92D54"/>
    <w:rsid w:val="2FC201C7"/>
    <w:rsid w:val="2FC8743B"/>
    <w:rsid w:val="2FDE0A0C"/>
    <w:rsid w:val="2FDE6C5E"/>
    <w:rsid w:val="2FEC4DF6"/>
    <w:rsid w:val="2FF12BB4"/>
    <w:rsid w:val="2FF722FC"/>
    <w:rsid w:val="2FFE2E5D"/>
    <w:rsid w:val="2FFF2D36"/>
    <w:rsid w:val="30016731"/>
    <w:rsid w:val="300541EB"/>
    <w:rsid w:val="300930AE"/>
    <w:rsid w:val="300C7201"/>
    <w:rsid w:val="300D1C0E"/>
    <w:rsid w:val="30142680"/>
    <w:rsid w:val="301663F8"/>
    <w:rsid w:val="3018332A"/>
    <w:rsid w:val="301A5EE8"/>
    <w:rsid w:val="30217113"/>
    <w:rsid w:val="30280776"/>
    <w:rsid w:val="302848BB"/>
    <w:rsid w:val="3037757B"/>
    <w:rsid w:val="30450A8C"/>
    <w:rsid w:val="30582D84"/>
    <w:rsid w:val="30662EDC"/>
    <w:rsid w:val="306D71EC"/>
    <w:rsid w:val="307121CA"/>
    <w:rsid w:val="30744ECD"/>
    <w:rsid w:val="307B625B"/>
    <w:rsid w:val="307E568B"/>
    <w:rsid w:val="307F499B"/>
    <w:rsid w:val="30801AC4"/>
    <w:rsid w:val="3082717D"/>
    <w:rsid w:val="30886433"/>
    <w:rsid w:val="309061AB"/>
    <w:rsid w:val="3098505F"/>
    <w:rsid w:val="309A4933"/>
    <w:rsid w:val="309F1F4A"/>
    <w:rsid w:val="30B33C47"/>
    <w:rsid w:val="30B44B89"/>
    <w:rsid w:val="30BC0D4E"/>
    <w:rsid w:val="30CC6AB7"/>
    <w:rsid w:val="30EF420D"/>
    <w:rsid w:val="30F4201C"/>
    <w:rsid w:val="310821E5"/>
    <w:rsid w:val="3123652A"/>
    <w:rsid w:val="312468F3"/>
    <w:rsid w:val="312634FE"/>
    <w:rsid w:val="31267258"/>
    <w:rsid w:val="31280191"/>
    <w:rsid w:val="312C3DE1"/>
    <w:rsid w:val="312E74C8"/>
    <w:rsid w:val="31344D88"/>
    <w:rsid w:val="3135465C"/>
    <w:rsid w:val="31374878"/>
    <w:rsid w:val="313A7EC4"/>
    <w:rsid w:val="313E79B5"/>
    <w:rsid w:val="31517D22"/>
    <w:rsid w:val="315E1E05"/>
    <w:rsid w:val="31603DCF"/>
    <w:rsid w:val="31633E12"/>
    <w:rsid w:val="316A07AA"/>
    <w:rsid w:val="31725D63"/>
    <w:rsid w:val="317C04DD"/>
    <w:rsid w:val="318616B8"/>
    <w:rsid w:val="31903F88"/>
    <w:rsid w:val="31983647"/>
    <w:rsid w:val="3199377B"/>
    <w:rsid w:val="319B18F1"/>
    <w:rsid w:val="31B45EC9"/>
    <w:rsid w:val="31B47C77"/>
    <w:rsid w:val="31B934DF"/>
    <w:rsid w:val="31BB4A9C"/>
    <w:rsid w:val="31BE4652"/>
    <w:rsid w:val="32004C9D"/>
    <w:rsid w:val="32026C34"/>
    <w:rsid w:val="32036508"/>
    <w:rsid w:val="32075108"/>
    <w:rsid w:val="32181967"/>
    <w:rsid w:val="32202354"/>
    <w:rsid w:val="322A618B"/>
    <w:rsid w:val="322C5A5F"/>
    <w:rsid w:val="32371651"/>
    <w:rsid w:val="323D0AB5"/>
    <w:rsid w:val="32425283"/>
    <w:rsid w:val="32486257"/>
    <w:rsid w:val="32494863"/>
    <w:rsid w:val="324A4137"/>
    <w:rsid w:val="3251196A"/>
    <w:rsid w:val="32537490"/>
    <w:rsid w:val="3254170D"/>
    <w:rsid w:val="32544FB6"/>
    <w:rsid w:val="325B4596"/>
    <w:rsid w:val="325E6226"/>
    <w:rsid w:val="325F4858"/>
    <w:rsid w:val="32700042"/>
    <w:rsid w:val="327718EF"/>
    <w:rsid w:val="327A0EC0"/>
    <w:rsid w:val="32821B23"/>
    <w:rsid w:val="328535BD"/>
    <w:rsid w:val="328A09D8"/>
    <w:rsid w:val="329B4993"/>
    <w:rsid w:val="329E63D6"/>
    <w:rsid w:val="329F2A52"/>
    <w:rsid w:val="32A60391"/>
    <w:rsid w:val="32AC4DF2"/>
    <w:rsid w:val="32AD4A96"/>
    <w:rsid w:val="32BF0681"/>
    <w:rsid w:val="32C64006"/>
    <w:rsid w:val="32CB7D19"/>
    <w:rsid w:val="32CC7242"/>
    <w:rsid w:val="32D00AE0"/>
    <w:rsid w:val="32D039D6"/>
    <w:rsid w:val="32D22AAA"/>
    <w:rsid w:val="32DF6844"/>
    <w:rsid w:val="32E221CE"/>
    <w:rsid w:val="32E427DE"/>
    <w:rsid w:val="32E75E2A"/>
    <w:rsid w:val="32E97CD9"/>
    <w:rsid w:val="32EC51EE"/>
    <w:rsid w:val="32F0789A"/>
    <w:rsid w:val="32F56710"/>
    <w:rsid w:val="32FA3DAF"/>
    <w:rsid w:val="32FA5B5D"/>
    <w:rsid w:val="32FF1FD4"/>
    <w:rsid w:val="33006D65"/>
    <w:rsid w:val="3305533D"/>
    <w:rsid w:val="330864CC"/>
    <w:rsid w:val="330E785B"/>
    <w:rsid w:val="3316226B"/>
    <w:rsid w:val="33185FE3"/>
    <w:rsid w:val="331A75FE"/>
    <w:rsid w:val="331F2F5F"/>
    <w:rsid w:val="332B5285"/>
    <w:rsid w:val="33332C70"/>
    <w:rsid w:val="3334695E"/>
    <w:rsid w:val="333C6176"/>
    <w:rsid w:val="33437504"/>
    <w:rsid w:val="334943EF"/>
    <w:rsid w:val="334D4783"/>
    <w:rsid w:val="335039CF"/>
    <w:rsid w:val="3350577D"/>
    <w:rsid w:val="3351154F"/>
    <w:rsid w:val="33552D94"/>
    <w:rsid w:val="3357077E"/>
    <w:rsid w:val="335A738B"/>
    <w:rsid w:val="33631954"/>
    <w:rsid w:val="336A0920"/>
    <w:rsid w:val="336C04C7"/>
    <w:rsid w:val="336C6619"/>
    <w:rsid w:val="33723946"/>
    <w:rsid w:val="33786ABB"/>
    <w:rsid w:val="338213DC"/>
    <w:rsid w:val="33857B1D"/>
    <w:rsid w:val="33964469"/>
    <w:rsid w:val="339C4E66"/>
    <w:rsid w:val="33B25065"/>
    <w:rsid w:val="33B43F5E"/>
    <w:rsid w:val="33B52496"/>
    <w:rsid w:val="33BF2903"/>
    <w:rsid w:val="33C1667B"/>
    <w:rsid w:val="33C63C91"/>
    <w:rsid w:val="33C70830"/>
    <w:rsid w:val="33CF0D98"/>
    <w:rsid w:val="33D2369C"/>
    <w:rsid w:val="33D26ADA"/>
    <w:rsid w:val="33DB598F"/>
    <w:rsid w:val="33DD0306"/>
    <w:rsid w:val="33F149FD"/>
    <w:rsid w:val="33F15DB4"/>
    <w:rsid w:val="33F218B8"/>
    <w:rsid w:val="33F22ACC"/>
    <w:rsid w:val="33F22CD8"/>
    <w:rsid w:val="33F628DD"/>
    <w:rsid w:val="33F7209D"/>
    <w:rsid w:val="33FD3ED6"/>
    <w:rsid w:val="340117C4"/>
    <w:rsid w:val="3403033B"/>
    <w:rsid w:val="340A0022"/>
    <w:rsid w:val="340F5638"/>
    <w:rsid w:val="34126ED7"/>
    <w:rsid w:val="34142C4F"/>
    <w:rsid w:val="341B222F"/>
    <w:rsid w:val="341E7629"/>
    <w:rsid w:val="34264730"/>
    <w:rsid w:val="342B1D46"/>
    <w:rsid w:val="342D5ABF"/>
    <w:rsid w:val="343B56FE"/>
    <w:rsid w:val="34533777"/>
    <w:rsid w:val="345474EF"/>
    <w:rsid w:val="34645984"/>
    <w:rsid w:val="34696213"/>
    <w:rsid w:val="346E0078"/>
    <w:rsid w:val="3479347C"/>
    <w:rsid w:val="347C3FD8"/>
    <w:rsid w:val="34813A56"/>
    <w:rsid w:val="348A0681"/>
    <w:rsid w:val="34971709"/>
    <w:rsid w:val="349E0E1D"/>
    <w:rsid w:val="349F4C0E"/>
    <w:rsid w:val="34A044E2"/>
    <w:rsid w:val="34A35D81"/>
    <w:rsid w:val="34B05F98"/>
    <w:rsid w:val="34B23E39"/>
    <w:rsid w:val="34D0301A"/>
    <w:rsid w:val="34D2402D"/>
    <w:rsid w:val="34E17695"/>
    <w:rsid w:val="34E46AC5"/>
    <w:rsid w:val="34E6283D"/>
    <w:rsid w:val="34EF7453"/>
    <w:rsid w:val="34F34F5A"/>
    <w:rsid w:val="34FB796B"/>
    <w:rsid w:val="351433FA"/>
    <w:rsid w:val="351647A5"/>
    <w:rsid w:val="35170C48"/>
    <w:rsid w:val="351F261B"/>
    <w:rsid w:val="3525299C"/>
    <w:rsid w:val="352769B2"/>
    <w:rsid w:val="352B0250"/>
    <w:rsid w:val="35326D7C"/>
    <w:rsid w:val="353335A8"/>
    <w:rsid w:val="353547D1"/>
    <w:rsid w:val="35367DCA"/>
    <w:rsid w:val="35416437"/>
    <w:rsid w:val="35481956"/>
    <w:rsid w:val="35491FA1"/>
    <w:rsid w:val="35565049"/>
    <w:rsid w:val="35661288"/>
    <w:rsid w:val="35682C70"/>
    <w:rsid w:val="35700359"/>
    <w:rsid w:val="35766BA0"/>
    <w:rsid w:val="35772FAC"/>
    <w:rsid w:val="357846E9"/>
    <w:rsid w:val="357A78BD"/>
    <w:rsid w:val="357F059C"/>
    <w:rsid w:val="35935E58"/>
    <w:rsid w:val="359622D6"/>
    <w:rsid w:val="35972798"/>
    <w:rsid w:val="35A763BB"/>
    <w:rsid w:val="35AB35AE"/>
    <w:rsid w:val="35AD62A7"/>
    <w:rsid w:val="35B46497"/>
    <w:rsid w:val="35BC17F0"/>
    <w:rsid w:val="35BE2E72"/>
    <w:rsid w:val="35C10BB4"/>
    <w:rsid w:val="35C3492C"/>
    <w:rsid w:val="35C34FB2"/>
    <w:rsid w:val="35CF0AE6"/>
    <w:rsid w:val="35CF524D"/>
    <w:rsid w:val="35D031EE"/>
    <w:rsid w:val="35D2691D"/>
    <w:rsid w:val="35D73F34"/>
    <w:rsid w:val="35E26AD4"/>
    <w:rsid w:val="35E95F5D"/>
    <w:rsid w:val="35F563E3"/>
    <w:rsid w:val="35F745D6"/>
    <w:rsid w:val="35F9034E"/>
    <w:rsid w:val="35FA1C30"/>
    <w:rsid w:val="35FE3BB6"/>
    <w:rsid w:val="36015AD7"/>
    <w:rsid w:val="360241D0"/>
    <w:rsid w:val="360A255B"/>
    <w:rsid w:val="361138EA"/>
    <w:rsid w:val="361929CE"/>
    <w:rsid w:val="361A62A2"/>
    <w:rsid w:val="361B1CDF"/>
    <w:rsid w:val="362D2432"/>
    <w:rsid w:val="362D63E3"/>
    <w:rsid w:val="36315D3A"/>
    <w:rsid w:val="363A5FB6"/>
    <w:rsid w:val="36433B92"/>
    <w:rsid w:val="36455505"/>
    <w:rsid w:val="3647376A"/>
    <w:rsid w:val="366C6A6F"/>
    <w:rsid w:val="36714388"/>
    <w:rsid w:val="3679148F"/>
    <w:rsid w:val="367D0F7F"/>
    <w:rsid w:val="367D2D2D"/>
    <w:rsid w:val="368045CB"/>
    <w:rsid w:val="36813DF9"/>
    <w:rsid w:val="36820344"/>
    <w:rsid w:val="36833AA9"/>
    <w:rsid w:val="368B5940"/>
    <w:rsid w:val="368F0CB2"/>
    <w:rsid w:val="36940077"/>
    <w:rsid w:val="369C6A2C"/>
    <w:rsid w:val="369E3E6D"/>
    <w:rsid w:val="36A52284"/>
    <w:rsid w:val="36BD7183"/>
    <w:rsid w:val="36BF3346"/>
    <w:rsid w:val="36E25286"/>
    <w:rsid w:val="36E7289C"/>
    <w:rsid w:val="36E903C3"/>
    <w:rsid w:val="36E92171"/>
    <w:rsid w:val="36EA7C97"/>
    <w:rsid w:val="36ED5AA5"/>
    <w:rsid w:val="36F079A3"/>
    <w:rsid w:val="36F61FAB"/>
    <w:rsid w:val="36FD5C1C"/>
    <w:rsid w:val="36FE4069"/>
    <w:rsid w:val="370226EA"/>
    <w:rsid w:val="37090F9B"/>
    <w:rsid w:val="37123AB5"/>
    <w:rsid w:val="371B2546"/>
    <w:rsid w:val="371C39D7"/>
    <w:rsid w:val="37203CEE"/>
    <w:rsid w:val="372413FB"/>
    <w:rsid w:val="37265173"/>
    <w:rsid w:val="37276008"/>
    <w:rsid w:val="37284B97"/>
    <w:rsid w:val="372E5DD5"/>
    <w:rsid w:val="37310A0F"/>
    <w:rsid w:val="37356654"/>
    <w:rsid w:val="37362EDC"/>
    <w:rsid w:val="37384EA6"/>
    <w:rsid w:val="373F4487"/>
    <w:rsid w:val="3747259D"/>
    <w:rsid w:val="374E6478"/>
    <w:rsid w:val="37607F59"/>
    <w:rsid w:val="37743447"/>
    <w:rsid w:val="37755E86"/>
    <w:rsid w:val="37831746"/>
    <w:rsid w:val="3784633D"/>
    <w:rsid w:val="3788735C"/>
    <w:rsid w:val="37893954"/>
    <w:rsid w:val="37920A5A"/>
    <w:rsid w:val="379504F3"/>
    <w:rsid w:val="379950AD"/>
    <w:rsid w:val="379D506B"/>
    <w:rsid w:val="37A12A2D"/>
    <w:rsid w:val="37A274B7"/>
    <w:rsid w:val="37AB1B1C"/>
    <w:rsid w:val="37B7401D"/>
    <w:rsid w:val="37BC1633"/>
    <w:rsid w:val="37C14E65"/>
    <w:rsid w:val="37C14E9C"/>
    <w:rsid w:val="37CB0B6E"/>
    <w:rsid w:val="37D7646D"/>
    <w:rsid w:val="37DA39D0"/>
    <w:rsid w:val="37DF46BE"/>
    <w:rsid w:val="37EE32C1"/>
    <w:rsid w:val="37F65BD2"/>
    <w:rsid w:val="37FF59C4"/>
    <w:rsid w:val="38036CC9"/>
    <w:rsid w:val="380A4A95"/>
    <w:rsid w:val="380B25BB"/>
    <w:rsid w:val="381274A5"/>
    <w:rsid w:val="381E409C"/>
    <w:rsid w:val="383513E6"/>
    <w:rsid w:val="38373E33"/>
    <w:rsid w:val="38386207"/>
    <w:rsid w:val="383A6622"/>
    <w:rsid w:val="3850049E"/>
    <w:rsid w:val="38521F98"/>
    <w:rsid w:val="385411AF"/>
    <w:rsid w:val="385B51EE"/>
    <w:rsid w:val="3866069E"/>
    <w:rsid w:val="3866128A"/>
    <w:rsid w:val="386B5B69"/>
    <w:rsid w:val="386F2B4A"/>
    <w:rsid w:val="387B2167"/>
    <w:rsid w:val="388A4F29"/>
    <w:rsid w:val="38910D12"/>
    <w:rsid w:val="3891486E"/>
    <w:rsid w:val="389425B0"/>
    <w:rsid w:val="38AA644C"/>
    <w:rsid w:val="38AB3178"/>
    <w:rsid w:val="38AC5B9E"/>
    <w:rsid w:val="38B50659"/>
    <w:rsid w:val="38BA11BD"/>
    <w:rsid w:val="38BB5D8F"/>
    <w:rsid w:val="38BC6B40"/>
    <w:rsid w:val="38BE0A3F"/>
    <w:rsid w:val="38C641BE"/>
    <w:rsid w:val="38CF183A"/>
    <w:rsid w:val="38CF78FF"/>
    <w:rsid w:val="38D31B4A"/>
    <w:rsid w:val="38D56570"/>
    <w:rsid w:val="38D806EF"/>
    <w:rsid w:val="38DE382B"/>
    <w:rsid w:val="38ED3A6E"/>
    <w:rsid w:val="38EF3C8A"/>
    <w:rsid w:val="38EF5A38"/>
    <w:rsid w:val="38F53E2C"/>
    <w:rsid w:val="38F5523D"/>
    <w:rsid w:val="38F80071"/>
    <w:rsid w:val="38F8669B"/>
    <w:rsid w:val="39033292"/>
    <w:rsid w:val="39071992"/>
    <w:rsid w:val="390E2362"/>
    <w:rsid w:val="390F482E"/>
    <w:rsid w:val="3914549F"/>
    <w:rsid w:val="3919204D"/>
    <w:rsid w:val="391A0D07"/>
    <w:rsid w:val="39227F3B"/>
    <w:rsid w:val="39241B86"/>
    <w:rsid w:val="392751D2"/>
    <w:rsid w:val="392840E5"/>
    <w:rsid w:val="39390CE5"/>
    <w:rsid w:val="394352BA"/>
    <w:rsid w:val="395064D7"/>
    <w:rsid w:val="3957402E"/>
    <w:rsid w:val="39594D9C"/>
    <w:rsid w:val="395D505B"/>
    <w:rsid w:val="395F2BBE"/>
    <w:rsid w:val="396A50BF"/>
    <w:rsid w:val="397228F1"/>
    <w:rsid w:val="39763A64"/>
    <w:rsid w:val="39803F30"/>
    <w:rsid w:val="398B5761"/>
    <w:rsid w:val="39943C53"/>
    <w:rsid w:val="39961A95"/>
    <w:rsid w:val="3999711F"/>
    <w:rsid w:val="39AA099D"/>
    <w:rsid w:val="39BD0B31"/>
    <w:rsid w:val="39C40C73"/>
    <w:rsid w:val="39C70C72"/>
    <w:rsid w:val="39C77594"/>
    <w:rsid w:val="39CD28CD"/>
    <w:rsid w:val="39CD5D7A"/>
    <w:rsid w:val="39CF6FC3"/>
    <w:rsid w:val="39DD11A6"/>
    <w:rsid w:val="39E02F52"/>
    <w:rsid w:val="39F65F6F"/>
    <w:rsid w:val="39F94DC1"/>
    <w:rsid w:val="39FE6FA0"/>
    <w:rsid w:val="39FF1CAB"/>
    <w:rsid w:val="3A00614F"/>
    <w:rsid w:val="3A013C4A"/>
    <w:rsid w:val="3A19673C"/>
    <w:rsid w:val="3A1F5EA9"/>
    <w:rsid w:val="3A22034B"/>
    <w:rsid w:val="3A287454"/>
    <w:rsid w:val="3A2D6818"/>
    <w:rsid w:val="3A400C63"/>
    <w:rsid w:val="3A44655B"/>
    <w:rsid w:val="3A4F49E1"/>
    <w:rsid w:val="3A500759"/>
    <w:rsid w:val="3A5051DF"/>
    <w:rsid w:val="3A550FAE"/>
    <w:rsid w:val="3A5C0EAC"/>
    <w:rsid w:val="3A716474"/>
    <w:rsid w:val="3A7601BF"/>
    <w:rsid w:val="3A77410F"/>
    <w:rsid w:val="3A8F17A3"/>
    <w:rsid w:val="3A9248CD"/>
    <w:rsid w:val="3A92642B"/>
    <w:rsid w:val="3A96589A"/>
    <w:rsid w:val="3A9708DA"/>
    <w:rsid w:val="3A9E7428"/>
    <w:rsid w:val="3AA238AB"/>
    <w:rsid w:val="3AAA7E69"/>
    <w:rsid w:val="3AAB0426"/>
    <w:rsid w:val="3AB643F6"/>
    <w:rsid w:val="3AB70679"/>
    <w:rsid w:val="3AB72586"/>
    <w:rsid w:val="3AB962FE"/>
    <w:rsid w:val="3ABF23E7"/>
    <w:rsid w:val="3AC76C6D"/>
    <w:rsid w:val="3AD04E36"/>
    <w:rsid w:val="3AD268CA"/>
    <w:rsid w:val="3AD96C93"/>
    <w:rsid w:val="3ADB44C6"/>
    <w:rsid w:val="3ADC2868"/>
    <w:rsid w:val="3ADC3918"/>
    <w:rsid w:val="3AE140A2"/>
    <w:rsid w:val="3AE50FB4"/>
    <w:rsid w:val="3AF01B4D"/>
    <w:rsid w:val="3AFE160D"/>
    <w:rsid w:val="3B15300C"/>
    <w:rsid w:val="3B1F0857"/>
    <w:rsid w:val="3B2000A5"/>
    <w:rsid w:val="3B337E5E"/>
    <w:rsid w:val="3B3836C7"/>
    <w:rsid w:val="3B3F2CA7"/>
    <w:rsid w:val="3B3F6A19"/>
    <w:rsid w:val="3B485631"/>
    <w:rsid w:val="3B4A33FA"/>
    <w:rsid w:val="3B4A51A8"/>
    <w:rsid w:val="3B4C2CCE"/>
    <w:rsid w:val="3B4D4534"/>
    <w:rsid w:val="3B5D4EDB"/>
    <w:rsid w:val="3B5F5322"/>
    <w:rsid w:val="3B6049CB"/>
    <w:rsid w:val="3B6C511E"/>
    <w:rsid w:val="3B8944D0"/>
    <w:rsid w:val="3B8A49AD"/>
    <w:rsid w:val="3B8D6CB0"/>
    <w:rsid w:val="3BA645C2"/>
    <w:rsid w:val="3BA90120"/>
    <w:rsid w:val="3BAD5816"/>
    <w:rsid w:val="3BB16FD5"/>
    <w:rsid w:val="3BB32D4D"/>
    <w:rsid w:val="3BB371F1"/>
    <w:rsid w:val="3BB464F1"/>
    <w:rsid w:val="3BBA0580"/>
    <w:rsid w:val="3BC110B1"/>
    <w:rsid w:val="3BC9669F"/>
    <w:rsid w:val="3BD3519D"/>
    <w:rsid w:val="3BD40F64"/>
    <w:rsid w:val="3BD51D88"/>
    <w:rsid w:val="3BF05D4F"/>
    <w:rsid w:val="3BF54F34"/>
    <w:rsid w:val="3C00585C"/>
    <w:rsid w:val="3C0D2C28"/>
    <w:rsid w:val="3C0D6901"/>
    <w:rsid w:val="3C1E0B0E"/>
    <w:rsid w:val="3C230079"/>
    <w:rsid w:val="3C326368"/>
    <w:rsid w:val="3C3C3D0E"/>
    <w:rsid w:val="3C461E13"/>
    <w:rsid w:val="3C490231"/>
    <w:rsid w:val="3C533DA8"/>
    <w:rsid w:val="3C544530"/>
    <w:rsid w:val="3C5C1637"/>
    <w:rsid w:val="3C6127A9"/>
    <w:rsid w:val="3C645466"/>
    <w:rsid w:val="3C69636B"/>
    <w:rsid w:val="3C7E335B"/>
    <w:rsid w:val="3C7E735F"/>
    <w:rsid w:val="3C814BF9"/>
    <w:rsid w:val="3C877347"/>
    <w:rsid w:val="3C9708C1"/>
    <w:rsid w:val="3C9E57AB"/>
    <w:rsid w:val="3CA46CA7"/>
    <w:rsid w:val="3CA803D8"/>
    <w:rsid w:val="3CAD3C40"/>
    <w:rsid w:val="3CB13731"/>
    <w:rsid w:val="3CB43221"/>
    <w:rsid w:val="3CBD0327"/>
    <w:rsid w:val="3CC82828"/>
    <w:rsid w:val="3CCA4727"/>
    <w:rsid w:val="3CCF005B"/>
    <w:rsid w:val="3CDB69FF"/>
    <w:rsid w:val="3CE358B4"/>
    <w:rsid w:val="3CEA435A"/>
    <w:rsid w:val="3CEE2341"/>
    <w:rsid w:val="3CFA713B"/>
    <w:rsid w:val="3D0306D1"/>
    <w:rsid w:val="3D0344A5"/>
    <w:rsid w:val="3D0B20F4"/>
    <w:rsid w:val="3D0C6BB9"/>
    <w:rsid w:val="3D163CE8"/>
    <w:rsid w:val="3D1837B0"/>
    <w:rsid w:val="3D197528"/>
    <w:rsid w:val="3D233F03"/>
    <w:rsid w:val="3D2924EF"/>
    <w:rsid w:val="3D3103CE"/>
    <w:rsid w:val="3D314871"/>
    <w:rsid w:val="3D327954"/>
    <w:rsid w:val="3D367828"/>
    <w:rsid w:val="3D3A045D"/>
    <w:rsid w:val="3D3E2CAF"/>
    <w:rsid w:val="3D424389"/>
    <w:rsid w:val="3D4337BC"/>
    <w:rsid w:val="3D4A1A91"/>
    <w:rsid w:val="3D4E137F"/>
    <w:rsid w:val="3D4F4CF8"/>
    <w:rsid w:val="3D582FDC"/>
    <w:rsid w:val="3D601F95"/>
    <w:rsid w:val="3D6442F9"/>
    <w:rsid w:val="3D7309E6"/>
    <w:rsid w:val="3D851ED1"/>
    <w:rsid w:val="3D995F73"/>
    <w:rsid w:val="3D9E371E"/>
    <w:rsid w:val="3DA212CB"/>
    <w:rsid w:val="3DA37BAD"/>
    <w:rsid w:val="3DA66102"/>
    <w:rsid w:val="3DAA6A3E"/>
    <w:rsid w:val="3DB73ABE"/>
    <w:rsid w:val="3DC821E0"/>
    <w:rsid w:val="3DCB25D0"/>
    <w:rsid w:val="3DD11BB1"/>
    <w:rsid w:val="3DD4110B"/>
    <w:rsid w:val="3DDD10A2"/>
    <w:rsid w:val="3DDE30D7"/>
    <w:rsid w:val="3DE11DF4"/>
    <w:rsid w:val="3DE25B6C"/>
    <w:rsid w:val="3DF15DAF"/>
    <w:rsid w:val="3DF52681"/>
    <w:rsid w:val="3E0B4098"/>
    <w:rsid w:val="3E0E7A13"/>
    <w:rsid w:val="3E0F1049"/>
    <w:rsid w:val="3E101FAD"/>
    <w:rsid w:val="3E103980"/>
    <w:rsid w:val="3E1201FF"/>
    <w:rsid w:val="3E135D25"/>
    <w:rsid w:val="3E175815"/>
    <w:rsid w:val="3E197707"/>
    <w:rsid w:val="3E1F3C50"/>
    <w:rsid w:val="3E244EE5"/>
    <w:rsid w:val="3E2C6DE7"/>
    <w:rsid w:val="3E377C66"/>
    <w:rsid w:val="3E3B1D47"/>
    <w:rsid w:val="3E3C1720"/>
    <w:rsid w:val="3E474B17"/>
    <w:rsid w:val="3E4D3BD3"/>
    <w:rsid w:val="3E540312"/>
    <w:rsid w:val="3E5A7AFA"/>
    <w:rsid w:val="3E607573"/>
    <w:rsid w:val="3E613B53"/>
    <w:rsid w:val="3E6447D3"/>
    <w:rsid w:val="3E691DE9"/>
    <w:rsid w:val="3E6C160C"/>
    <w:rsid w:val="3E6E2FE8"/>
    <w:rsid w:val="3E720AFF"/>
    <w:rsid w:val="3E742189"/>
    <w:rsid w:val="3E8B6203"/>
    <w:rsid w:val="3E8D0601"/>
    <w:rsid w:val="3E9560B7"/>
    <w:rsid w:val="3EAD43CC"/>
    <w:rsid w:val="3EAF1EF2"/>
    <w:rsid w:val="3EB219E2"/>
    <w:rsid w:val="3EBC016B"/>
    <w:rsid w:val="3EC040FF"/>
    <w:rsid w:val="3ECE3B5D"/>
    <w:rsid w:val="3EDC080D"/>
    <w:rsid w:val="3EDE4033"/>
    <w:rsid w:val="3EDF7B5A"/>
    <w:rsid w:val="3EE15E23"/>
    <w:rsid w:val="3EE6168C"/>
    <w:rsid w:val="3EE71F8C"/>
    <w:rsid w:val="3EED6576"/>
    <w:rsid w:val="3EF05773"/>
    <w:rsid w:val="3EF26282"/>
    <w:rsid w:val="3EF45CBB"/>
    <w:rsid w:val="3EF90D13"/>
    <w:rsid w:val="3F02078A"/>
    <w:rsid w:val="3F0A537A"/>
    <w:rsid w:val="3F0B4D59"/>
    <w:rsid w:val="3F2261CC"/>
    <w:rsid w:val="3F397A0D"/>
    <w:rsid w:val="3F4A7370"/>
    <w:rsid w:val="3F4E15CB"/>
    <w:rsid w:val="3F537CF8"/>
    <w:rsid w:val="3F566811"/>
    <w:rsid w:val="3F58294D"/>
    <w:rsid w:val="3F604F9A"/>
    <w:rsid w:val="3F643097"/>
    <w:rsid w:val="3F64342E"/>
    <w:rsid w:val="3F67457A"/>
    <w:rsid w:val="3F6F7AAF"/>
    <w:rsid w:val="3F7C434A"/>
    <w:rsid w:val="3F917116"/>
    <w:rsid w:val="3F93711E"/>
    <w:rsid w:val="3F9744F3"/>
    <w:rsid w:val="3F9E76A4"/>
    <w:rsid w:val="3FA60898"/>
    <w:rsid w:val="3FAE720A"/>
    <w:rsid w:val="3FB84DD6"/>
    <w:rsid w:val="3FBD6DDF"/>
    <w:rsid w:val="3FC1012F"/>
    <w:rsid w:val="3FC30B40"/>
    <w:rsid w:val="3FC731E3"/>
    <w:rsid w:val="3FCB5D9F"/>
    <w:rsid w:val="3FD35E75"/>
    <w:rsid w:val="3FDF180F"/>
    <w:rsid w:val="3FE21E53"/>
    <w:rsid w:val="3FE91433"/>
    <w:rsid w:val="3FF83425"/>
    <w:rsid w:val="40082737"/>
    <w:rsid w:val="400B2CC2"/>
    <w:rsid w:val="400B75FC"/>
    <w:rsid w:val="40144798"/>
    <w:rsid w:val="40145E57"/>
    <w:rsid w:val="401B4C09"/>
    <w:rsid w:val="40267F92"/>
    <w:rsid w:val="402E32EA"/>
    <w:rsid w:val="403422ED"/>
    <w:rsid w:val="403A31F7"/>
    <w:rsid w:val="40402DB2"/>
    <w:rsid w:val="404B17A6"/>
    <w:rsid w:val="404E1296"/>
    <w:rsid w:val="404E573A"/>
    <w:rsid w:val="405C7E57"/>
    <w:rsid w:val="40623B67"/>
    <w:rsid w:val="40646D0C"/>
    <w:rsid w:val="406C4FAB"/>
    <w:rsid w:val="407231D7"/>
    <w:rsid w:val="40774F0C"/>
    <w:rsid w:val="408007B2"/>
    <w:rsid w:val="40810C47"/>
    <w:rsid w:val="40865225"/>
    <w:rsid w:val="40882793"/>
    <w:rsid w:val="409A272E"/>
    <w:rsid w:val="40A67324"/>
    <w:rsid w:val="40A84193"/>
    <w:rsid w:val="40BC0EDB"/>
    <w:rsid w:val="40BE641C"/>
    <w:rsid w:val="40C003E6"/>
    <w:rsid w:val="40C97A1F"/>
    <w:rsid w:val="40D043A1"/>
    <w:rsid w:val="40D4425F"/>
    <w:rsid w:val="40D561FF"/>
    <w:rsid w:val="40DE261A"/>
    <w:rsid w:val="40E02836"/>
    <w:rsid w:val="40E83499"/>
    <w:rsid w:val="40F54BF5"/>
    <w:rsid w:val="40F8373D"/>
    <w:rsid w:val="40F85C0E"/>
    <w:rsid w:val="410A1661"/>
    <w:rsid w:val="411705EF"/>
    <w:rsid w:val="41285F8B"/>
    <w:rsid w:val="412F67F8"/>
    <w:rsid w:val="41410DFB"/>
    <w:rsid w:val="41435885"/>
    <w:rsid w:val="41483F38"/>
    <w:rsid w:val="414D77A0"/>
    <w:rsid w:val="415901C6"/>
    <w:rsid w:val="4167271B"/>
    <w:rsid w:val="416D6D51"/>
    <w:rsid w:val="41721101"/>
    <w:rsid w:val="417411D1"/>
    <w:rsid w:val="41792343"/>
    <w:rsid w:val="417A5E21"/>
    <w:rsid w:val="417B28D8"/>
    <w:rsid w:val="417E3BDE"/>
    <w:rsid w:val="41803517"/>
    <w:rsid w:val="41894C7C"/>
    <w:rsid w:val="418A4550"/>
    <w:rsid w:val="418F2EC8"/>
    <w:rsid w:val="41923405"/>
    <w:rsid w:val="41986978"/>
    <w:rsid w:val="41A158A7"/>
    <w:rsid w:val="41A5288D"/>
    <w:rsid w:val="41AA2E44"/>
    <w:rsid w:val="41AA68AB"/>
    <w:rsid w:val="41AC2719"/>
    <w:rsid w:val="41AF5830"/>
    <w:rsid w:val="41B2083F"/>
    <w:rsid w:val="41B86EEA"/>
    <w:rsid w:val="41C860D3"/>
    <w:rsid w:val="41CE268F"/>
    <w:rsid w:val="41DD6D76"/>
    <w:rsid w:val="41F25D9C"/>
    <w:rsid w:val="41F93484"/>
    <w:rsid w:val="41F95F03"/>
    <w:rsid w:val="41FB12D8"/>
    <w:rsid w:val="420E5181"/>
    <w:rsid w:val="420E6F2F"/>
    <w:rsid w:val="42101488"/>
    <w:rsid w:val="42153E7E"/>
    <w:rsid w:val="421544F8"/>
    <w:rsid w:val="422624CB"/>
    <w:rsid w:val="422F25A0"/>
    <w:rsid w:val="42361EDD"/>
    <w:rsid w:val="423729B6"/>
    <w:rsid w:val="423B1EB0"/>
    <w:rsid w:val="423D78AE"/>
    <w:rsid w:val="424220D8"/>
    <w:rsid w:val="424C5CAA"/>
    <w:rsid w:val="4250570B"/>
    <w:rsid w:val="42537038"/>
    <w:rsid w:val="426C1EA8"/>
    <w:rsid w:val="426E3E72"/>
    <w:rsid w:val="42701998"/>
    <w:rsid w:val="42705E47"/>
    <w:rsid w:val="42707843"/>
    <w:rsid w:val="42784CF1"/>
    <w:rsid w:val="42785D1A"/>
    <w:rsid w:val="427A45C5"/>
    <w:rsid w:val="427F18A0"/>
    <w:rsid w:val="4285031E"/>
    <w:rsid w:val="42864D18"/>
    <w:rsid w:val="42870A90"/>
    <w:rsid w:val="428E1E1E"/>
    <w:rsid w:val="428F2CCE"/>
    <w:rsid w:val="42946631"/>
    <w:rsid w:val="429A4C67"/>
    <w:rsid w:val="42A06F29"/>
    <w:rsid w:val="42A653BA"/>
    <w:rsid w:val="42AB1AC5"/>
    <w:rsid w:val="42B9678D"/>
    <w:rsid w:val="42C23A7E"/>
    <w:rsid w:val="42C910A8"/>
    <w:rsid w:val="42CB3152"/>
    <w:rsid w:val="42CD0B98"/>
    <w:rsid w:val="42D00689"/>
    <w:rsid w:val="42D069A7"/>
    <w:rsid w:val="42D55C9F"/>
    <w:rsid w:val="42E4288F"/>
    <w:rsid w:val="42EE3047"/>
    <w:rsid w:val="42F35571"/>
    <w:rsid w:val="42F446F5"/>
    <w:rsid w:val="42FE2B4E"/>
    <w:rsid w:val="430D368B"/>
    <w:rsid w:val="43160E90"/>
    <w:rsid w:val="43176673"/>
    <w:rsid w:val="431A15C9"/>
    <w:rsid w:val="432335FB"/>
    <w:rsid w:val="432718E8"/>
    <w:rsid w:val="43284021"/>
    <w:rsid w:val="43324E9F"/>
    <w:rsid w:val="43334A86"/>
    <w:rsid w:val="433E1A96"/>
    <w:rsid w:val="43416B84"/>
    <w:rsid w:val="434C5C0D"/>
    <w:rsid w:val="434F5A51"/>
    <w:rsid w:val="43550B61"/>
    <w:rsid w:val="43571FB5"/>
    <w:rsid w:val="435E62C4"/>
    <w:rsid w:val="43651149"/>
    <w:rsid w:val="438C04A2"/>
    <w:rsid w:val="438F40A0"/>
    <w:rsid w:val="43905609"/>
    <w:rsid w:val="43931DE2"/>
    <w:rsid w:val="43994F1E"/>
    <w:rsid w:val="439E42E3"/>
    <w:rsid w:val="43A9319C"/>
    <w:rsid w:val="43AA6F9A"/>
    <w:rsid w:val="43B0654E"/>
    <w:rsid w:val="43BE622F"/>
    <w:rsid w:val="43C008CE"/>
    <w:rsid w:val="43C65B22"/>
    <w:rsid w:val="43C755E8"/>
    <w:rsid w:val="43CF26EE"/>
    <w:rsid w:val="43D83035"/>
    <w:rsid w:val="43DE29AA"/>
    <w:rsid w:val="43E02B4D"/>
    <w:rsid w:val="43F21B07"/>
    <w:rsid w:val="43F22295"/>
    <w:rsid w:val="43FD725B"/>
    <w:rsid w:val="44000AFA"/>
    <w:rsid w:val="44022AC4"/>
    <w:rsid w:val="44024872"/>
    <w:rsid w:val="440548E6"/>
    <w:rsid w:val="440721FA"/>
    <w:rsid w:val="44092296"/>
    <w:rsid w:val="44095C00"/>
    <w:rsid w:val="440E3217"/>
    <w:rsid w:val="44124CF1"/>
    <w:rsid w:val="441A605F"/>
    <w:rsid w:val="441D3DEC"/>
    <w:rsid w:val="442073EE"/>
    <w:rsid w:val="44224F14"/>
    <w:rsid w:val="44252FA4"/>
    <w:rsid w:val="442E1B0B"/>
    <w:rsid w:val="442E38B9"/>
    <w:rsid w:val="44380257"/>
    <w:rsid w:val="443B10E6"/>
    <w:rsid w:val="44406A3F"/>
    <w:rsid w:val="44437E31"/>
    <w:rsid w:val="44475071"/>
    <w:rsid w:val="444906F3"/>
    <w:rsid w:val="444C01E3"/>
    <w:rsid w:val="444C413C"/>
    <w:rsid w:val="444C6842"/>
    <w:rsid w:val="445C03BA"/>
    <w:rsid w:val="445C744E"/>
    <w:rsid w:val="4462377A"/>
    <w:rsid w:val="4466003F"/>
    <w:rsid w:val="446A2CF6"/>
    <w:rsid w:val="447F2366"/>
    <w:rsid w:val="44801C3A"/>
    <w:rsid w:val="448020BA"/>
    <w:rsid w:val="448160DE"/>
    <w:rsid w:val="44830273"/>
    <w:rsid w:val="44860EF6"/>
    <w:rsid w:val="4488746D"/>
    <w:rsid w:val="44957494"/>
    <w:rsid w:val="44974F2C"/>
    <w:rsid w:val="449A1671"/>
    <w:rsid w:val="44A678F3"/>
    <w:rsid w:val="44A703AC"/>
    <w:rsid w:val="44A86ED4"/>
    <w:rsid w:val="44C85ABB"/>
    <w:rsid w:val="44CE29A6"/>
    <w:rsid w:val="44DE708D"/>
    <w:rsid w:val="44EB5865"/>
    <w:rsid w:val="44F22B38"/>
    <w:rsid w:val="44F3240C"/>
    <w:rsid w:val="44F37317"/>
    <w:rsid w:val="44F56185"/>
    <w:rsid w:val="44FA0100"/>
    <w:rsid w:val="450B3BFA"/>
    <w:rsid w:val="450B7CB1"/>
    <w:rsid w:val="451C1963"/>
    <w:rsid w:val="451F3201"/>
    <w:rsid w:val="452151CC"/>
    <w:rsid w:val="452453EB"/>
    <w:rsid w:val="452B429C"/>
    <w:rsid w:val="452E5288"/>
    <w:rsid w:val="45354367"/>
    <w:rsid w:val="453942C3"/>
    <w:rsid w:val="453F5652"/>
    <w:rsid w:val="454D7D6F"/>
    <w:rsid w:val="4550329E"/>
    <w:rsid w:val="4554734F"/>
    <w:rsid w:val="45670165"/>
    <w:rsid w:val="456A6B72"/>
    <w:rsid w:val="456D30D1"/>
    <w:rsid w:val="45701CAF"/>
    <w:rsid w:val="457151C5"/>
    <w:rsid w:val="457B2B2E"/>
    <w:rsid w:val="457B31CC"/>
    <w:rsid w:val="457D1F22"/>
    <w:rsid w:val="458008B0"/>
    <w:rsid w:val="45806396"/>
    <w:rsid w:val="4594599D"/>
    <w:rsid w:val="45946540"/>
    <w:rsid w:val="45982A11"/>
    <w:rsid w:val="459C2AA4"/>
    <w:rsid w:val="45B04B1E"/>
    <w:rsid w:val="45B222C8"/>
    <w:rsid w:val="45BB117C"/>
    <w:rsid w:val="45BC6CA2"/>
    <w:rsid w:val="45BD2515"/>
    <w:rsid w:val="45C1250B"/>
    <w:rsid w:val="45CC0E65"/>
    <w:rsid w:val="45CF4C28"/>
    <w:rsid w:val="45D02AE5"/>
    <w:rsid w:val="45D57E8E"/>
    <w:rsid w:val="45D60FBA"/>
    <w:rsid w:val="45D7010E"/>
    <w:rsid w:val="45D911CC"/>
    <w:rsid w:val="45E26E49"/>
    <w:rsid w:val="45E5444B"/>
    <w:rsid w:val="45E81012"/>
    <w:rsid w:val="45E81F22"/>
    <w:rsid w:val="45EA1A61"/>
    <w:rsid w:val="45EC0238"/>
    <w:rsid w:val="46031C08"/>
    <w:rsid w:val="46072613"/>
    <w:rsid w:val="460E39A2"/>
    <w:rsid w:val="460F14C8"/>
    <w:rsid w:val="460F2655"/>
    <w:rsid w:val="461B60BF"/>
    <w:rsid w:val="4622578E"/>
    <w:rsid w:val="462814EA"/>
    <w:rsid w:val="46283164"/>
    <w:rsid w:val="462A4554"/>
    <w:rsid w:val="462C3E28"/>
    <w:rsid w:val="463827CD"/>
    <w:rsid w:val="463B050F"/>
    <w:rsid w:val="463F754B"/>
    <w:rsid w:val="46410AC4"/>
    <w:rsid w:val="46433032"/>
    <w:rsid w:val="464527DD"/>
    <w:rsid w:val="46470C62"/>
    <w:rsid w:val="464A0752"/>
    <w:rsid w:val="464A4ED7"/>
    <w:rsid w:val="464C44CA"/>
    <w:rsid w:val="464F5C99"/>
    <w:rsid w:val="464F7B16"/>
    <w:rsid w:val="4654512D"/>
    <w:rsid w:val="465B64BB"/>
    <w:rsid w:val="4661564E"/>
    <w:rsid w:val="467A68AD"/>
    <w:rsid w:val="468A6DA0"/>
    <w:rsid w:val="468C0D6B"/>
    <w:rsid w:val="4693720F"/>
    <w:rsid w:val="469E0050"/>
    <w:rsid w:val="46A3579E"/>
    <w:rsid w:val="46A55988"/>
    <w:rsid w:val="46AD6654"/>
    <w:rsid w:val="46B326A2"/>
    <w:rsid w:val="46BA1A9B"/>
    <w:rsid w:val="46BB7879"/>
    <w:rsid w:val="46BC33FE"/>
    <w:rsid w:val="46C978C9"/>
    <w:rsid w:val="46CC1183"/>
    <w:rsid w:val="46D51B9B"/>
    <w:rsid w:val="46E44703"/>
    <w:rsid w:val="46F414DE"/>
    <w:rsid w:val="46F5246C"/>
    <w:rsid w:val="46F97F24"/>
    <w:rsid w:val="46FC1A4C"/>
    <w:rsid w:val="46FC3253"/>
    <w:rsid w:val="46FD6269"/>
    <w:rsid w:val="46FE1EDD"/>
    <w:rsid w:val="47076123"/>
    <w:rsid w:val="47076142"/>
    <w:rsid w:val="470B1C8F"/>
    <w:rsid w:val="470D1EAB"/>
    <w:rsid w:val="47110D04"/>
    <w:rsid w:val="47115046"/>
    <w:rsid w:val="47150D60"/>
    <w:rsid w:val="471A0124"/>
    <w:rsid w:val="471B0967"/>
    <w:rsid w:val="471B5E77"/>
    <w:rsid w:val="471E65DE"/>
    <w:rsid w:val="472376E0"/>
    <w:rsid w:val="472D42FC"/>
    <w:rsid w:val="47384869"/>
    <w:rsid w:val="473F7B8B"/>
    <w:rsid w:val="474451A1"/>
    <w:rsid w:val="474E7DCE"/>
    <w:rsid w:val="475573AE"/>
    <w:rsid w:val="475C526B"/>
    <w:rsid w:val="47601FC8"/>
    <w:rsid w:val="476C2E00"/>
    <w:rsid w:val="476C759B"/>
    <w:rsid w:val="47730B93"/>
    <w:rsid w:val="4774202F"/>
    <w:rsid w:val="47750F78"/>
    <w:rsid w:val="477F00A9"/>
    <w:rsid w:val="478962C2"/>
    <w:rsid w:val="478E4C87"/>
    <w:rsid w:val="479000C6"/>
    <w:rsid w:val="479003E6"/>
    <w:rsid w:val="47BC567F"/>
    <w:rsid w:val="47CA1A36"/>
    <w:rsid w:val="47CB7671"/>
    <w:rsid w:val="47CD33E9"/>
    <w:rsid w:val="47CF0F0F"/>
    <w:rsid w:val="47DB3D58"/>
    <w:rsid w:val="47DB78B4"/>
    <w:rsid w:val="47E4066D"/>
    <w:rsid w:val="47EB386F"/>
    <w:rsid w:val="47F44E19"/>
    <w:rsid w:val="47FE17F4"/>
    <w:rsid w:val="48043A1E"/>
    <w:rsid w:val="480706A9"/>
    <w:rsid w:val="48096636"/>
    <w:rsid w:val="480C2163"/>
    <w:rsid w:val="480E2755"/>
    <w:rsid w:val="481C20E2"/>
    <w:rsid w:val="481E69BF"/>
    <w:rsid w:val="48202ACC"/>
    <w:rsid w:val="482B2CC3"/>
    <w:rsid w:val="482E04FC"/>
    <w:rsid w:val="482E4303"/>
    <w:rsid w:val="48315726"/>
    <w:rsid w:val="48384D06"/>
    <w:rsid w:val="48401E0D"/>
    <w:rsid w:val="48455675"/>
    <w:rsid w:val="484713ED"/>
    <w:rsid w:val="484C07B1"/>
    <w:rsid w:val="48524CAB"/>
    <w:rsid w:val="48541414"/>
    <w:rsid w:val="485D7FA6"/>
    <w:rsid w:val="48643D4D"/>
    <w:rsid w:val="48645AFB"/>
    <w:rsid w:val="486C49B0"/>
    <w:rsid w:val="48721260"/>
    <w:rsid w:val="48731228"/>
    <w:rsid w:val="487C33A3"/>
    <w:rsid w:val="48846AEF"/>
    <w:rsid w:val="48943F06"/>
    <w:rsid w:val="48952158"/>
    <w:rsid w:val="489D725F"/>
    <w:rsid w:val="48A66DC8"/>
    <w:rsid w:val="48AE321A"/>
    <w:rsid w:val="48BD0371"/>
    <w:rsid w:val="48C22822"/>
    <w:rsid w:val="48CE566A"/>
    <w:rsid w:val="48D43A0A"/>
    <w:rsid w:val="48DA400F"/>
    <w:rsid w:val="48DE1323"/>
    <w:rsid w:val="48E94252"/>
    <w:rsid w:val="48EB621C"/>
    <w:rsid w:val="48EC5AF0"/>
    <w:rsid w:val="48EE063D"/>
    <w:rsid w:val="48FB0B6E"/>
    <w:rsid w:val="490610E9"/>
    <w:rsid w:val="49097719"/>
    <w:rsid w:val="492101F0"/>
    <w:rsid w:val="4922372B"/>
    <w:rsid w:val="492434DC"/>
    <w:rsid w:val="492928A1"/>
    <w:rsid w:val="49303C2F"/>
    <w:rsid w:val="49380D36"/>
    <w:rsid w:val="49392E54"/>
    <w:rsid w:val="494029CE"/>
    <w:rsid w:val="494B4A07"/>
    <w:rsid w:val="49515A33"/>
    <w:rsid w:val="49523BA5"/>
    <w:rsid w:val="49557B3A"/>
    <w:rsid w:val="495B713C"/>
    <w:rsid w:val="49647D7D"/>
    <w:rsid w:val="49685CCB"/>
    <w:rsid w:val="49752D84"/>
    <w:rsid w:val="4979137F"/>
    <w:rsid w:val="497A134E"/>
    <w:rsid w:val="497E5DF7"/>
    <w:rsid w:val="497F6965"/>
    <w:rsid w:val="49811327"/>
    <w:rsid w:val="49877D17"/>
    <w:rsid w:val="498E6BA8"/>
    <w:rsid w:val="499032D8"/>
    <w:rsid w:val="499441BE"/>
    <w:rsid w:val="49983810"/>
    <w:rsid w:val="49A776CE"/>
    <w:rsid w:val="49AA668A"/>
    <w:rsid w:val="49B04D70"/>
    <w:rsid w:val="49BD547E"/>
    <w:rsid w:val="49BD69A9"/>
    <w:rsid w:val="49D24CE6"/>
    <w:rsid w:val="49DC3DB7"/>
    <w:rsid w:val="49DE368B"/>
    <w:rsid w:val="49E07403"/>
    <w:rsid w:val="4A0462BA"/>
    <w:rsid w:val="4A1649E3"/>
    <w:rsid w:val="4A176CF1"/>
    <w:rsid w:val="4A187AA1"/>
    <w:rsid w:val="4A244663"/>
    <w:rsid w:val="4A2512BA"/>
    <w:rsid w:val="4A2540DF"/>
    <w:rsid w:val="4A2D016F"/>
    <w:rsid w:val="4A30453E"/>
    <w:rsid w:val="4A317291"/>
    <w:rsid w:val="4A3B487A"/>
    <w:rsid w:val="4A477482"/>
    <w:rsid w:val="4A7364C9"/>
    <w:rsid w:val="4A756F9E"/>
    <w:rsid w:val="4A8D1A42"/>
    <w:rsid w:val="4A8D6713"/>
    <w:rsid w:val="4A8E048D"/>
    <w:rsid w:val="4A934476"/>
    <w:rsid w:val="4A9363E9"/>
    <w:rsid w:val="4A954692"/>
    <w:rsid w:val="4A9A61CC"/>
    <w:rsid w:val="4AB02304"/>
    <w:rsid w:val="4AB44FBA"/>
    <w:rsid w:val="4AC77877"/>
    <w:rsid w:val="4AC97E97"/>
    <w:rsid w:val="4ADF76BB"/>
    <w:rsid w:val="4AEF1CDA"/>
    <w:rsid w:val="4AF018C8"/>
    <w:rsid w:val="4B0D06CC"/>
    <w:rsid w:val="4B0E4466"/>
    <w:rsid w:val="4B1109B8"/>
    <w:rsid w:val="4B1530DD"/>
    <w:rsid w:val="4B180E1F"/>
    <w:rsid w:val="4B1F21AD"/>
    <w:rsid w:val="4B20050F"/>
    <w:rsid w:val="4B223A4B"/>
    <w:rsid w:val="4B2B2900"/>
    <w:rsid w:val="4B323C3A"/>
    <w:rsid w:val="4B335C59"/>
    <w:rsid w:val="4B35377F"/>
    <w:rsid w:val="4B3A0D95"/>
    <w:rsid w:val="4B43620E"/>
    <w:rsid w:val="4B4734B2"/>
    <w:rsid w:val="4B474591"/>
    <w:rsid w:val="4B5530BB"/>
    <w:rsid w:val="4B570551"/>
    <w:rsid w:val="4B5D6832"/>
    <w:rsid w:val="4B5F07FC"/>
    <w:rsid w:val="4B72052F"/>
    <w:rsid w:val="4B8137BE"/>
    <w:rsid w:val="4B924E71"/>
    <w:rsid w:val="4B9A671C"/>
    <w:rsid w:val="4B9C57F5"/>
    <w:rsid w:val="4BA40904"/>
    <w:rsid w:val="4BA6642B"/>
    <w:rsid w:val="4BA81667"/>
    <w:rsid w:val="4BC54AE5"/>
    <w:rsid w:val="4BC869E2"/>
    <w:rsid w:val="4BCB40E3"/>
    <w:rsid w:val="4BCE772F"/>
    <w:rsid w:val="4BD20495"/>
    <w:rsid w:val="4BDA1F5B"/>
    <w:rsid w:val="4BDC1472"/>
    <w:rsid w:val="4BDC1E4C"/>
    <w:rsid w:val="4BDE3E16"/>
    <w:rsid w:val="4BE5045F"/>
    <w:rsid w:val="4BE53A2A"/>
    <w:rsid w:val="4BED22AB"/>
    <w:rsid w:val="4BFB6776"/>
    <w:rsid w:val="4BFF6542"/>
    <w:rsid w:val="4C0118B3"/>
    <w:rsid w:val="4C043151"/>
    <w:rsid w:val="4C082C41"/>
    <w:rsid w:val="4C08576E"/>
    <w:rsid w:val="4C0E454D"/>
    <w:rsid w:val="4C1913FC"/>
    <w:rsid w:val="4C1C7E59"/>
    <w:rsid w:val="4C286E40"/>
    <w:rsid w:val="4C2A0E0A"/>
    <w:rsid w:val="4C2B14ED"/>
    <w:rsid w:val="4C317CD7"/>
    <w:rsid w:val="4C35155C"/>
    <w:rsid w:val="4C3D001D"/>
    <w:rsid w:val="4C457D79"/>
    <w:rsid w:val="4C4D68A6"/>
    <w:rsid w:val="4C4F3781"/>
    <w:rsid w:val="4C5C4D3B"/>
    <w:rsid w:val="4C7B7650"/>
    <w:rsid w:val="4C7D0027"/>
    <w:rsid w:val="4C7D6B0F"/>
    <w:rsid w:val="4C8E43ED"/>
    <w:rsid w:val="4C8E7499"/>
    <w:rsid w:val="4C991AEB"/>
    <w:rsid w:val="4C9C1012"/>
    <w:rsid w:val="4CA94424"/>
    <w:rsid w:val="4CAC7A71"/>
    <w:rsid w:val="4CB30DFF"/>
    <w:rsid w:val="4CC307BC"/>
    <w:rsid w:val="4CC530DC"/>
    <w:rsid w:val="4CCA0D79"/>
    <w:rsid w:val="4CCA7EF7"/>
    <w:rsid w:val="4CCF550D"/>
    <w:rsid w:val="4CD564D9"/>
    <w:rsid w:val="4CDB0356"/>
    <w:rsid w:val="4CE57B17"/>
    <w:rsid w:val="4CE627DD"/>
    <w:rsid w:val="4CE704A4"/>
    <w:rsid w:val="4CEB4169"/>
    <w:rsid w:val="4CF87845"/>
    <w:rsid w:val="4CFC67ED"/>
    <w:rsid w:val="4CFE0718"/>
    <w:rsid w:val="4D00367C"/>
    <w:rsid w:val="4D0A417A"/>
    <w:rsid w:val="4D0A4797"/>
    <w:rsid w:val="4D135D42"/>
    <w:rsid w:val="4D1A70D0"/>
    <w:rsid w:val="4D1F1116"/>
    <w:rsid w:val="4D21045F"/>
    <w:rsid w:val="4D2671E9"/>
    <w:rsid w:val="4D2E66D8"/>
    <w:rsid w:val="4D461514"/>
    <w:rsid w:val="4D4B1038"/>
    <w:rsid w:val="4D4D0287"/>
    <w:rsid w:val="4D5048A0"/>
    <w:rsid w:val="4D517D2E"/>
    <w:rsid w:val="4D7346B3"/>
    <w:rsid w:val="4D7434E5"/>
    <w:rsid w:val="4D75708A"/>
    <w:rsid w:val="4D781B2C"/>
    <w:rsid w:val="4D7C3CED"/>
    <w:rsid w:val="4D7F6F33"/>
    <w:rsid w:val="4D8A1FFE"/>
    <w:rsid w:val="4D9D3203"/>
    <w:rsid w:val="4DA644C0"/>
    <w:rsid w:val="4DB12E65"/>
    <w:rsid w:val="4DB459E6"/>
    <w:rsid w:val="4DB87A58"/>
    <w:rsid w:val="4DC82688"/>
    <w:rsid w:val="4DDC25D7"/>
    <w:rsid w:val="4DDC6134"/>
    <w:rsid w:val="4DDD4677"/>
    <w:rsid w:val="4DE247A0"/>
    <w:rsid w:val="4DFC4A28"/>
    <w:rsid w:val="4E092CA1"/>
    <w:rsid w:val="4E0B07C7"/>
    <w:rsid w:val="4E127DA7"/>
    <w:rsid w:val="4E13502B"/>
    <w:rsid w:val="4E233B70"/>
    <w:rsid w:val="4E233D62"/>
    <w:rsid w:val="4E362FD4"/>
    <w:rsid w:val="4E393586"/>
    <w:rsid w:val="4E3C3076"/>
    <w:rsid w:val="4E4510BD"/>
    <w:rsid w:val="4E45150C"/>
    <w:rsid w:val="4E5008D0"/>
    <w:rsid w:val="4E551DEC"/>
    <w:rsid w:val="4E566BBF"/>
    <w:rsid w:val="4E596832"/>
    <w:rsid w:val="4E5B174E"/>
    <w:rsid w:val="4E604FB7"/>
    <w:rsid w:val="4E626012"/>
    <w:rsid w:val="4E636855"/>
    <w:rsid w:val="4E637E27"/>
    <w:rsid w:val="4E680DBF"/>
    <w:rsid w:val="4E7B3B9E"/>
    <w:rsid w:val="4E7B76FB"/>
    <w:rsid w:val="4E7F3FFB"/>
    <w:rsid w:val="4E832A53"/>
    <w:rsid w:val="4E850579"/>
    <w:rsid w:val="4E870795"/>
    <w:rsid w:val="4EA170E6"/>
    <w:rsid w:val="4EAE715D"/>
    <w:rsid w:val="4EC312E8"/>
    <w:rsid w:val="4EC33857"/>
    <w:rsid w:val="4ECE0172"/>
    <w:rsid w:val="4ED137BE"/>
    <w:rsid w:val="4ED478C6"/>
    <w:rsid w:val="4ED60DD5"/>
    <w:rsid w:val="4ED65AC3"/>
    <w:rsid w:val="4EDE2A1F"/>
    <w:rsid w:val="4EE03A01"/>
    <w:rsid w:val="4EEB759A"/>
    <w:rsid w:val="4EEC2B7B"/>
    <w:rsid w:val="4EFA3325"/>
    <w:rsid w:val="4EFD0A57"/>
    <w:rsid w:val="4F18319B"/>
    <w:rsid w:val="4F29184C"/>
    <w:rsid w:val="4F3B1580"/>
    <w:rsid w:val="4F4740A4"/>
    <w:rsid w:val="4F50502B"/>
    <w:rsid w:val="4F530677"/>
    <w:rsid w:val="4F531035"/>
    <w:rsid w:val="4F5341B6"/>
    <w:rsid w:val="4F560168"/>
    <w:rsid w:val="4F60312A"/>
    <w:rsid w:val="4F626B0C"/>
    <w:rsid w:val="4F6F4D85"/>
    <w:rsid w:val="4F716D4F"/>
    <w:rsid w:val="4F7A20A8"/>
    <w:rsid w:val="4F7E5458"/>
    <w:rsid w:val="4F846A83"/>
    <w:rsid w:val="4F8810DB"/>
    <w:rsid w:val="4F9A7A65"/>
    <w:rsid w:val="4FA15887"/>
    <w:rsid w:val="4FAF4286"/>
    <w:rsid w:val="4FAF7AEB"/>
    <w:rsid w:val="4FB235F0"/>
    <w:rsid w:val="4FB70C06"/>
    <w:rsid w:val="4FBB2829"/>
    <w:rsid w:val="4FC20464"/>
    <w:rsid w:val="4FC275AB"/>
    <w:rsid w:val="4FCB6460"/>
    <w:rsid w:val="4FD80B7D"/>
    <w:rsid w:val="4FD91820"/>
    <w:rsid w:val="4FE13ED5"/>
    <w:rsid w:val="4FE17A31"/>
    <w:rsid w:val="4FE35D07"/>
    <w:rsid w:val="4FE614EB"/>
    <w:rsid w:val="4FE94417"/>
    <w:rsid w:val="4FE94B38"/>
    <w:rsid w:val="4FEC63D6"/>
    <w:rsid w:val="4FF416D0"/>
    <w:rsid w:val="50016325"/>
    <w:rsid w:val="500216C6"/>
    <w:rsid w:val="500A5F84"/>
    <w:rsid w:val="501C315F"/>
    <w:rsid w:val="501F557F"/>
    <w:rsid w:val="502B565A"/>
    <w:rsid w:val="502E60F8"/>
    <w:rsid w:val="50306C0B"/>
    <w:rsid w:val="5038161B"/>
    <w:rsid w:val="5039786D"/>
    <w:rsid w:val="503C7D20"/>
    <w:rsid w:val="503E4E84"/>
    <w:rsid w:val="503F19FE"/>
    <w:rsid w:val="50407B31"/>
    <w:rsid w:val="50432373"/>
    <w:rsid w:val="504D156B"/>
    <w:rsid w:val="50586946"/>
    <w:rsid w:val="505B3C87"/>
    <w:rsid w:val="50631789"/>
    <w:rsid w:val="50655046"/>
    <w:rsid w:val="506568B4"/>
    <w:rsid w:val="506910DD"/>
    <w:rsid w:val="506A549A"/>
    <w:rsid w:val="506C7D53"/>
    <w:rsid w:val="50782506"/>
    <w:rsid w:val="507864CD"/>
    <w:rsid w:val="507B4C45"/>
    <w:rsid w:val="5080549C"/>
    <w:rsid w:val="508D7BB9"/>
    <w:rsid w:val="50953188"/>
    <w:rsid w:val="509575AD"/>
    <w:rsid w:val="5098435F"/>
    <w:rsid w:val="5099030C"/>
    <w:rsid w:val="509D42B1"/>
    <w:rsid w:val="50A17D73"/>
    <w:rsid w:val="50A72532"/>
    <w:rsid w:val="50B235C2"/>
    <w:rsid w:val="50B769E4"/>
    <w:rsid w:val="50B900BA"/>
    <w:rsid w:val="50BE4216"/>
    <w:rsid w:val="50C35389"/>
    <w:rsid w:val="50CF3478"/>
    <w:rsid w:val="50D43A3A"/>
    <w:rsid w:val="50D47596"/>
    <w:rsid w:val="50D51D5C"/>
    <w:rsid w:val="50DC55D6"/>
    <w:rsid w:val="50E07B05"/>
    <w:rsid w:val="50F5297B"/>
    <w:rsid w:val="50F9524E"/>
    <w:rsid w:val="50FE4613"/>
    <w:rsid w:val="51056328"/>
    <w:rsid w:val="510F1943"/>
    <w:rsid w:val="5110347B"/>
    <w:rsid w:val="51112598"/>
    <w:rsid w:val="5119643C"/>
    <w:rsid w:val="511D4F82"/>
    <w:rsid w:val="51281690"/>
    <w:rsid w:val="512F2A0A"/>
    <w:rsid w:val="513026B6"/>
    <w:rsid w:val="513D338D"/>
    <w:rsid w:val="513D439B"/>
    <w:rsid w:val="5148350E"/>
    <w:rsid w:val="514C49FC"/>
    <w:rsid w:val="514C537E"/>
    <w:rsid w:val="51595CED"/>
    <w:rsid w:val="515C4818"/>
    <w:rsid w:val="51660576"/>
    <w:rsid w:val="51760B43"/>
    <w:rsid w:val="51764658"/>
    <w:rsid w:val="517F39A6"/>
    <w:rsid w:val="51874608"/>
    <w:rsid w:val="518B394D"/>
    <w:rsid w:val="518E1E3B"/>
    <w:rsid w:val="518E61A1"/>
    <w:rsid w:val="51915487"/>
    <w:rsid w:val="51942603"/>
    <w:rsid w:val="519936BD"/>
    <w:rsid w:val="519F4057"/>
    <w:rsid w:val="51A03FBB"/>
    <w:rsid w:val="51B01DB1"/>
    <w:rsid w:val="51C615D4"/>
    <w:rsid w:val="51CC64BF"/>
    <w:rsid w:val="51D57A6A"/>
    <w:rsid w:val="51D830B6"/>
    <w:rsid w:val="51DF2696"/>
    <w:rsid w:val="51E75D2C"/>
    <w:rsid w:val="51E90445"/>
    <w:rsid w:val="51E966F7"/>
    <w:rsid w:val="51F24178"/>
    <w:rsid w:val="51F55A16"/>
    <w:rsid w:val="51F7178E"/>
    <w:rsid w:val="51F83758"/>
    <w:rsid w:val="51FD48CA"/>
    <w:rsid w:val="52036385"/>
    <w:rsid w:val="520619D1"/>
    <w:rsid w:val="5208399B"/>
    <w:rsid w:val="520B2677"/>
    <w:rsid w:val="520D3D7D"/>
    <w:rsid w:val="520D7203"/>
    <w:rsid w:val="52174AA4"/>
    <w:rsid w:val="52217827"/>
    <w:rsid w:val="522432EB"/>
    <w:rsid w:val="52304CA0"/>
    <w:rsid w:val="52432C25"/>
    <w:rsid w:val="52466675"/>
    <w:rsid w:val="524D5852"/>
    <w:rsid w:val="5253098E"/>
    <w:rsid w:val="5258567D"/>
    <w:rsid w:val="525E7A5F"/>
    <w:rsid w:val="526606C2"/>
    <w:rsid w:val="526B3F2A"/>
    <w:rsid w:val="52734B8D"/>
    <w:rsid w:val="5283444E"/>
    <w:rsid w:val="529214B7"/>
    <w:rsid w:val="52926D70"/>
    <w:rsid w:val="529E6199"/>
    <w:rsid w:val="52A539D3"/>
    <w:rsid w:val="52AD3126"/>
    <w:rsid w:val="52B94C95"/>
    <w:rsid w:val="52C34C48"/>
    <w:rsid w:val="52CA1B96"/>
    <w:rsid w:val="52CA6EA2"/>
    <w:rsid w:val="52CF0C27"/>
    <w:rsid w:val="52CF270B"/>
    <w:rsid w:val="52E55A8A"/>
    <w:rsid w:val="52E63A37"/>
    <w:rsid w:val="52E9596A"/>
    <w:rsid w:val="52EB0BC7"/>
    <w:rsid w:val="52EF4B5B"/>
    <w:rsid w:val="53065A01"/>
    <w:rsid w:val="530D6D8F"/>
    <w:rsid w:val="53185E60"/>
    <w:rsid w:val="531F6EC4"/>
    <w:rsid w:val="53206AC2"/>
    <w:rsid w:val="53217ECD"/>
    <w:rsid w:val="5330233F"/>
    <w:rsid w:val="5334431C"/>
    <w:rsid w:val="53350E5B"/>
    <w:rsid w:val="53387DF7"/>
    <w:rsid w:val="533A103F"/>
    <w:rsid w:val="53424C8B"/>
    <w:rsid w:val="53490EC2"/>
    <w:rsid w:val="534B1E4A"/>
    <w:rsid w:val="534B41C5"/>
    <w:rsid w:val="534D3630"/>
    <w:rsid w:val="535C0F98"/>
    <w:rsid w:val="53606473"/>
    <w:rsid w:val="53614DF5"/>
    <w:rsid w:val="537E1A3B"/>
    <w:rsid w:val="53840118"/>
    <w:rsid w:val="5384308C"/>
    <w:rsid w:val="53852D5E"/>
    <w:rsid w:val="53876B42"/>
    <w:rsid w:val="538B4884"/>
    <w:rsid w:val="538D3430"/>
    <w:rsid w:val="53901E9A"/>
    <w:rsid w:val="539407F9"/>
    <w:rsid w:val="53963CFA"/>
    <w:rsid w:val="53A019B1"/>
    <w:rsid w:val="53A414A2"/>
    <w:rsid w:val="53AA2830"/>
    <w:rsid w:val="53C51418"/>
    <w:rsid w:val="53E26336"/>
    <w:rsid w:val="53E36D11"/>
    <w:rsid w:val="53EF597F"/>
    <w:rsid w:val="53F8656D"/>
    <w:rsid w:val="540208BE"/>
    <w:rsid w:val="54191421"/>
    <w:rsid w:val="5428175B"/>
    <w:rsid w:val="54287F00"/>
    <w:rsid w:val="542B1BC3"/>
    <w:rsid w:val="542B3971"/>
    <w:rsid w:val="54363EAB"/>
    <w:rsid w:val="54387E3C"/>
    <w:rsid w:val="54436F0C"/>
    <w:rsid w:val="545662B3"/>
    <w:rsid w:val="545804DE"/>
    <w:rsid w:val="545A4256"/>
    <w:rsid w:val="545E56FD"/>
    <w:rsid w:val="546B2E46"/>
    <w:rsid w:val="54785234"/>
    <w:rsid w:val="5479292E"/>
    <w:rsid w:val="547F1F0F"/>
    <w:rsid w:val="547F5A6B"/>
    <w:rsid w:val="54826331"/>
    <w:rsid w:val="548405D9"/>
    <w:rsid w:val="54880DC3"/>
    <w:rsid w:val="548961E1"/>
    <w:rsid w:val="548968E9"/>
    <w:rsid w:val="54945CA3"/>
    <w:rsid w:val="54981B74"/>
    <w:rsid w:val="54994332"/>
    <w:rsid w:val="549B4A4D"/>
    <w:rsid w:val="549F2185"/>
    <w:rsid w:val="54A83213"/>
    <w:rsid w:val="54AA6EBE"/>
    <w:rsid w:val="54AC7DEF"/>
    <w:rsid w:val="54AF522D"/>
    <w:rsid w:val="54B17344"/>
    <w:rsid w:val="54B41D8E"/>
    <w:rsid w:val="54B55930"/>
    <w:rsid w:val="54B971CF"/>
    <w:rsid w:val="54BB2F47"/>
    <w:rsid w:val="54BB6D59"/>
    <w:rsid w:val="54BF26F5"/>
    <w:rsid w:val="54C42E70"/>
    <w:rsid w:val="54C558A9"/>
    <w:rsid w:val="54C92693"/>
    <w:rsid w:val="54CA13DC"/>
    <w:rsid w:val="54D062C6"/>
    <w:rsid w:val="54D52DFF"/>
    <w:rsid w:val="54D758A7"/>
    <w:rsid w:val="54E12A2F"/>
    <w:rsid w:val="54E970AC"/>
    <w:rsid w:val="55032FC6"/>
    <w:rsid w:val="550541C2"/>
    <w:rsid w:val="550A7A2A"/>
    <w:rsid w:val="550B56F8"/>
    <w:rsid w:val="55197C6D"/>
    <w:rsid w:val="552C498D"/>
    <w:rsid w:val="553779FB"/>
    <w:rsid w:val="554D5BD3"/>
    <w:rsid w:val="555010F1"/>
    <w:rsid w:val="55596308"/>
    <w:rsid w:val="55635B60"/>
    <w:rsid w:val="55690770"/>
    <w:rsid w:val="556F5ADF"/>
    <w:rsid w:val="55713605"/>
    <w:rsid w:val="55782BE6"/>
    <w:rsid w:val="557C54B8"/>
    <w:rsid w:val="558071A1"/>
    <w:rsid w:val="55844538"/>
    <w:rsid w:val="55853555"/>
    <w:rsid w:val="558A46C7"/>
    <w:rsid w:val="558E2409"/>
    <w:rsid w:val="558F1CDD"/>
    <w:rsid w:val="559125AB"/>
    <w:rsid w:val="55943272"/>
    <w:rsid w:val="5598730F"/>
    <w:rsid w:val="559A7000"/>
    <w:rsid w:val="559B451A"/>
    <w:rsid w:val="559B68D4"/>
    <w:rsid w:val="559E5653"/>
    <w:rsid w:val="55A255D4"/>
    <w:rsid w:val="55A57753"/>
    <w:rsid w:val="55AA2FBB"/>
    <w:rsid w:val="55AD0AB1"/>
    <w:rsid w:val="55B160F8"/>
    <w:rsid w:val="55C220B3"/>
    <w:rsid w:val="55C541AC"/>
    <w:rsid w:val="55C96AF1"/>
    <w:rsid w:val="55CB435B"/>
    <w:rsid w:val="55CC2F32"/>
    <w:rsid w:val="55D17D3D"/>
    <w:rsid w:val="55D3606E"/>
    <w:rsid w:val="55D43B94"/>
    <w:rsid w:val="55DA564E"/>
    <w:rsid w:val="55DD0C9B"/>
    <w:rsid w:val="55DD2885"/>
    <w:rsid w:val="55E30486"/>
    <w:rsid w:val="55E56FEC"/>
    <w:rsid w:val="55EA2C7D"/>
    <w:rsid w:val="55FA3344"/>
    <w:rsid w:val="56067C24"/>
    <w:rsid w:val="5618779A"/>
    <w:rsid w:val="562B0879"/>
    <w:rsid w:val="562F0105"/>
    <w:rsid w:val="56334D5F"/>
    <w:rsid w:val="56400843"/>
    <w:rsid w:val="56412002"/>
    <w:rsid w:val="564231F4"/>
    <w:rsid w:val="56577F7F"/>
    <w:rsid w:val="5658126C"/>
    <w:rsid w:val="565A678F"/>
    <w:rsid w:val="565F3DA6"/>
    <w:rsid w:val="566343C8"/>
    <w:rsid w:val="56690780"/>
    <w:rsid w:val="566C201F"/>
    <w:rsid w:val="567C04B4"/>
    <w:rsid w:val="56800791"/>
    <w:rsid w:val="568200DB"/>
    <w:rsid w:val="568E73B4"/>
    <w:rsid w:val="568F7CFF"/>
    <w:rsid w:val="56985164"/>
    <w:rsid w:val="569E48CE"/>
    <w:rsid w:val="56AF797A"/>
    <w:rsid w:val="56C87B9D"/>
    <w:rsid w:val="56CE7E4F"/>
    <w:rsid w:val="56D41A26"/>
    <w:rsid w:val="56DD2B51"/>
    <w:rsid w:val="56DE116E"/>
    <w:rsid w:val="56DE658D"/>
    <w:rsid w:val="56E15063"/>
    <w:rsid w:val="56F72230"/>
    <w:rsid w:val="56F91B04"/>
    <w:rsid w:val="5705494D"/>
    <w:rsid w:val="570B1838"/>
    <w:rsid w:val="571B5F1F"/>
    <w:rsid w:val="571B7CCD"/>
    <w:rsid w:val="572904F0"/>
    <w:rsid w:val="573921B9"/>
    <w:rsid w:val="573B1A9C"/>
    <w:rsid w:val="574B7E86"/>
    <w:rsid w:val="57522D06"/>
    <w:rsid w:val="57631674"/>
    <w:rsid w:val="57645695"/>
    <w:rsid w:val="57710EBA"/>
    <w:rsid w:val="578347DB"/>
    <w:rsid w:val="57947A7F"/>
    <w:rsid w:val="5797386A"/>
    <w:rsid w:val="57996E43"/>
    <w:rsid w:val="579A1C59"/>
    <w:rsid w:val="579B1003"/>
    <w:rsid w:val="579F6F85"/>
    <w:rsid w:val="579F7237"/>
    <w:rsid w:val="57A76258"/>
    <w:rsid w:val="57AC6B77"/>
    <w:rsid w:val="57B21817"/>
    <w:rsid w:val="57B30C6D"/>
    <w:rsid w:val="57B36157"/>
    <w:rsid w:val="57B633D4"/>
    <w:rsid w:val="57BE2579"/>
    <w:rsid w:val="57BE68AA"/>
    <w:rsid w:val="57C147CD"/>
    <w:rsid w:val="57C22A3C"/>
    <w:rsid w:val="57C739B1"/>
    <w:rsid w:val="57D04F5B"/>
    <w:rsid w:val="57D367F9"/>
    <w:rsid w:val="57DD2544"/>
    <w:rsid w:val="57DF4624"/>
    <w:rsid w:val="57E00F16"/>
    <w:rsid w:val="57E31379"/>
    <w:rsid w:val="57E42C51"/>
    <w:rsid w:val="57EA1796"/>
    <w:rsid w:val="57EC78BB"/>
    <w:rsid w:val="57EF1159"/>
    <w:rsid w:val="57FD3876"/>
    <w:rsid w:val="580532FA"/>
    <w:rsid w:val="58055B5F"/>
    <w:rsid w:val="58262DCD"/>
    <w:rsid w:val="5827444F"/>
    <w:rsid w:val="582B03E3"/>
    <w:rsid w:val="58443253"/>
    <w:rsid w:val="5847689F"/>
    <w:rsid w:val="58492617"/>
    <w:rsid w:val="584E40D2"/>
    <w:rsid w:val="585D54D8"/>
    <w:rsid w:val="587079A4"/>
    <w:rsid w:val="58723F81"/>
    <w:rsid w:val="58726012"/>
    <w:rsid w:val="587A6C75"/>
    <w:rsid w:val="58805B34"/>
    <w:rsid w:val="58816255"/>
    <w:rsid w:val="5882708A"/>
    <w:rsid w:val="58883419"/>
    <w:rsid w:val="58900CFD"/>
    <w:rsid w:val="5893679F"/>
    <w:rsid w:val="58957D45"/>
    <w:rsid w:val="58973F85"/>
    <w:rsid w:val="58A3441E"/>
    <w:rsid w:val="58A40196"/>
    <w:rsid w:val="58A8636A"/>
    <w:rsid w:val="58AB32D2"/>
    <w:rsid w:val="58AB5080"/>
    <w:rsid w:val="58B10512"/>
    <w:rsid w:val="58B633A9"/>
    <w:rsid w:val="58BB65E0"/>
    <w:rsid w:val="58C25462"/>
    <w:rsid w:val="58C63711"/>
    <w:rsid w:val="58C919AA"/>
    <w:rsid w:val="58D11441"/>
    <w:rsid w:val="58D179D0"/>
    <w:rsid w:val="58D2085F"/>
    <w:rsid w:val="58E208C1"/>
    <w:rsid w:val="58E84AF7"/>
    <w:rsid w:val="58E862D4"/>
    <w:rsid w:val="58EA6962"/>
    <w:rsid w:val="58EB2E9D"/>
    <w:rsid w:val="58F033DB"/>
    <w:rsid w:val="58F22CAF"/>
    <w:rsid w:val="58F32455"/>
    <w:rsid w:val="59081D51"/>
    <w:rsid w:val="590824D3"/>
    <w:rsid w:val="59097FF9"/>
    <w:rsid w:val="590A624B"/>
    <w:rsid w:val="591A3FB4"/>
    <w:rsid w:val="591C364A"/>
    <w:rsid w:val="591D0584"/>
    <w:rsid w:val="5925186F"/>
    <w:rsid w:val="59262959"/>
    <w:rsid w:val="59284923"/>
    <w:rsid w:val="592C2E0C"/>
    <w:rsid w:val="592D3CE7"/>
    <w:rsid w:val="59360232"/>
    <w:rsid w:val="59360753"/>
    <w:rsid w:val="59374B66"/>
    <w:rsid w:val="593C469E"/>
    <w:rsid w:val="594C6171"/>
    <w:rsid w:val="594E3C1D"/>
    <w:rsid w:val="594F261F"/>
    <w:rsid w:val="59576FB6"/>
    <w:rsid w:val="59587490"/>
    <w:rsid w:val="595C637A"/>
    <w:rsid w:val="596266DB"/>
    <w:rsid w:val="59653481"/>
    <w:rsid w:val="596C23A1"/>
    <w:rsid w:val="596D1DFE"/>
    <w:rsid w:val="59710078"/>
    <w:rsid w:val="59793D78"/>
    <w:rsid w:val="5980650D"/>
    <w:rsid w:val="59835FFD"/>
    <w:rsid w:val="59856944"/>
    <w:rsid w:val="598B51CA"/>
    <w:rsid w:val="598C7317"/>
    <w:rsid w:val="598D6049"/>
    <w:rsid w:val="598F6750"/>
    <w:rsid w:val="5999798B"/>
    <w:rsid w:val="599E1CA7"/>
    <w:rsid w:val="599E2E37"/>
    <w:rsid w:val="59A3044D"/>
    <w:rsid w:val="59A65848"/>
    <w:rsid w:val="59AB6EAD"/>
    <w:rsid w:val="59AC46E8"/>
    <w:rsid w:val="59B1296C"/>
    <w:rsid w:val="59BF34F6"/>
    <w:rsid w:val="59C33617"/>
    <w:rsid w:val="59C7413C"/>
    <w:rsid w:val="59C85E27"/>
    <w:rsid w:val="59D11D3A"/>
    <w:rsid w:val="59DE6EA0"/>
    <w:rsid w:val="59E545C2"/>
    <w:rsid w:val="59FD190B"/>
    <w:rsid w:val="5A001F32"/>
    <w:rsid w:val="5A1153B7"/>
    <w:rsid w:val="5A1924BD"/>
    <w:rsid w:val="5A2E679A"/>
    <w:rsid w:val="5A382944"/>
    <w:rsid w:val="5A4412E8"/>
    <w:rsid w:val="5A4532B2"/>
    <w:rsid w:val="5A4B4A8E"/>
    <w:rsid w:val="5A4D76B3"/>
    <w:rsid w:val="5A51512F"/>
    <w:rsid w:val="5A541D81"/>
    <w:rsid w:val="5A5836E3"/>
    <w:rsid w:val="5A5A0B0C"/>
    <w:rsid w:val="5A5C409D"/>
    <w:rsid w:val="5A5D4984"/>
    <w:rsid w:val="5A625C12"/>
    <w:rsid w:val="5A627595"/>
    <w:rsid w:val="5A6837C4"/>
    <w:rsid w:val="5A696437"/>
    <w:rsid w:val="5A751DEA"/>
    <w:rsid w:val="5A797C8D"/>
    <w:rsid w:val="5A7A11AE"/>
    <w:rsid w:val="5A7C62E5"/>
    <w:rsid w:val="5A8D6765"/>
    <w:rsid w:val="5A8D7133"/>
    <w:rsid w:val="5A9D2B0B"/>
    <w:rsid w:val="5AAB1367"/>
    <w:rsid w:val="5AB346C0"/>
    <w:rsid w:val="5AB814D9"/>
    <w:rsid w:val="5ABD72ED"/>
    <w:rsid w:val="5AC92574"/>
    <w:rsid w:val="5AD3240B"/>
    <w:rsid w:val="5AD60E01"/>
    <w:rsid w:val="5AE40D1D"/>
    <w:rsid w:val="5AFF16B3"/>
    <w:rsid w:val="5B022F52"/>
    <w:rsid w:val="5B0311A3"/>
    <w:rsid w:val="5B046C96"/>
    <w:rsid w:val="5B0A62C6"/>
    <w:rsid w:val="5B0F5D9A"/>
    <w:rsid w:val="5B1074F2"/>
    <w:rsid w:val="5B21162A"/>
    <w:rsid w:val="5B2A2BD4"/>
    <w:rsid w:val="5B2A57DC"/>
    <w:rsid w:val="5B37709F"/>
    <w:rsid w:val="5B3C46B5"/>
    <w:rsid w:val="5B3D152A"/>
    <w:rsid w:val="5B3D7964"/>
    <w:rsid w:val="5B3F5F54"/>
    <w:rsid w:val="5B4672E2"/>
    <w:rsid w:val="5B4B110A"/>
    <w:rsid w:val="5B4B66A7"/>
    <w:rsid w:val="5B591DBE"/>
    <w:rsid w:val="5B5A4B3C"/>
    <w:rsid w:val="5B70266C"/>
    <w:rsid w:val="5B890C51"/>
    <w:rsid w:val="5B893FCD"/>
    <w:rsid w:val="5B8F4251"/>
    <w:rsid w:val="5B975306"/>
    <w:rsid w:val="5B9E2C7A"/>
    <w:rsid w:val="5BA468D4"/>
    <w:rsid w:val="5BAA5AC3"/>
    <w:rsid w:val="5BBE3F0F"/>
    <w:rsid w:val="5BC67079"/>
    <w:rsid w:val="5BCC3570"/>
    <w:rsid w:val="5BD04209"/>
    <w:rsid w:val="5BD17315"/>
    <w:rsid w:val="5BE24306"/>
    <w:rsid w:val="5BE34433"/>
    <w:rsid w:val="5BE7126E"/>
    <w:rsid w:val="5BE72873"/>
    <w:rsid w:val="5BEA3F28"/>
    <w:rsid w:val="5BEF4619"/>
    <w:rsid w:val="5BF1724E"/>
    <w:rsid w:val="5BF907F8"/>
    <w:rsid w:val="5BF94355"/>
    <w:rsid w:val="5BFC48A7"/>
    <w:rsid w:val="5BFE382E"/>
    <w:rsid w:val="5C00027B"/>
    <w:rsid w:val="5C043425"/>
    <w:rsid w:val="5C0617D0"/>
    <w:rsid w:val="5C0C052C"/>
    <w:rsid w:val="5C0E3323"/>
    <w:rsid w:val="5C176C7E"/>
    <w:rsid w:val="5C1B251D"/>
    <w:rsid w:val="5C1E48CB"/>
    <w:rsid w:val="5C201C66"/>
    <w:rsid w:val="5C207B33"/>
    <w:rsid w:val="5C272C70"/>
    <w:rsid w:val="5C2C4EF3"/>
    <w:rsid w:val="5C2E1802"/>
    <w:rsid w:val="5C2E6285"/>
    <w:rsid w:val="5C335AB8"/>
    <w:rsid w:val="5C3929A3"/>
    <w:rsid w:val="5C471797"/>
    <w:rsid w:val="5C49430F"/>
    <w:rsid w:val="5C4C490E"/>
    <w:rsid w:val="5C50666A"/>
    <w:rsid w:val="5C6414D9"/>
    <w:rsid w:val="5C6A7E66"/>
    <w:rsid w:val="5C6B34A4"/>
    <w:rsid w:val="5C6E6AF1"/>
    <w:rsid w:val="5C741C2D"/>
    <w:rsid w:val="5C805DFE"/>
    <w:rsid w:val="5C855BE8"/>
    <w:rsid w:val="5C8D77D5"/>
    <w:rsid w:val="5C950521"/>
    <w:rsid w:val="5C9522CF"/>
    <w:rsid w:val="5C9D30FF"/>
    <w:rsid w:val="5C9F6CAA"/>
    <w:rsid w:val="5CAA564F"/>
    <w:rsid w:val="5CB0443D"/>
    <w:rsid w:val="5CB169DD"/>
    <w:rsid w:val="5CB364D3"/>
    <w:rsid w:val="5CB63FF4"/>
    <w:rsid w:val="5CBD4C0D"/>
    <w:rsid w:val="5CBE30B7"/>
    <w:rsid w:val="5CC1463E"/>
    <w:rsid w:val="5CC42BB4"/>
    <w:rsid w:val="5CC517AF"/>
    <w:rsid w:val="5CC87F31"/>
    <w:rsid w:val="5CCB4CA9"/>
    <w:rsid w:val="5CCE758F"/>
    <w:rsid w:val="5CDF17FF"/>
    <w:rsid w:val="5CE62B2B"/>
    <w:rsid w:val="5CE84AF5"/>
    <w:rsid w:val="5CEB0141"/>
    <w:rsid w:val="5CFC7098"/>
    <w:rsid w:val="5D01059B"/>
    <w:rsid w:val="5D092F30"/>
    <w:rsid w:val="5D1450ED"/>
    <w:rsid w:val="5D1A27D4"/>
    <w:rsid w:val="5D1F3486"/>
    <w:rsid w:val="5D1F7DEB"/>
    <w:rsid w:val="5D211720"/>
    <w:rsid w:val="5D236F7A"/>
    <w:rsid w:val="5D2B3036"/>
    <w:rsid w:val="5D2C1646"/>
    <w:rsid w:val="5D2D1162"/>
    <w:rsid w:val="5D2F352B"/>
    <w:rsid w:val="5D3959B1"/>
    <w:rsid w:val="5D3A69D3"/>
    <w:rsid w:val="5D3C099D"/>
    <w:rsid w:val="5D3E2967"/>
    <w:rsid w:val="5D514532"/>
    <w:rsid w:val="5D5977A1"/>
    <w:rsid w:val="5D5C61C3"/>
    <w:rsid w:val="5D5D7D54"/>
    <w:rsid w:val="5D645DC6"/>
    <w:rsid w:val="5D6730A7"/>
    <w:rsid w:val="5D750BAC"/>
    <w:rsid w:val="5D796DAE"/>
    <w:rsid w:val="5D7C432F"/>
    <w:rsid w:val="5D9562FF"/>
    <w:rsid w:val="5D997B9D"/>
    <w:rsid w:val="5DA27BC8"/>
    <w:rsid w:val="5DB11753"/>
    <w:rsid w:val="5DB83DF8"/>
    <w:rsid w:val="5DBB3FB7"/>
    <w:rsid w:val="5DC32E6C"/>
    <w:rsid w:val="5DCD51E6"/>
    <w:rsid w:val="5DCD5A99"/>
    <w:rsid w:val="5DCE3495"/>
    <w:rsid w:val="5DD177AB"/>
    <w:rsid w:val="5DDC3F2E"/>
    <w:rsid w:val="5DDE6FA2"/>
    <w:rsid w:val="5DE66B5A"/>
    <w:rsid w:val="5DEE3EF6"/>
    <w:rsid w:val="5DF30202"/>
    <w:rsid w:val="5DF66FA2"/>
    <w:rsid w:val="5E021BE6"/>
    <w:rsid w:val="5E056651"/>
    <w:rsid w:val="5E057B54"/>
    <w:rsid w:val="5E062D59"/>
    <w:rsid w:val="5E0A45F7"/>
    <w:rsid w:val="5E102EB2"/>
    <w:rsid w:val="5E113BD7"/>
    <w:rsid w:val="5E127950"/>
    <w:rsid w:val="5E1B68CD"/>
    <w:rsid w:val="5E227C76"/>
    <w:rsid w:val="5E2356B9"/>
    <w:rsid w:val="5E273A92"/>
    <w:rsid w:val="5E2C0A11"/>
    <w:rsid w:val="5E345B18"/>
    <w:rsid w:val="5E4044BD"/>
    <w:rsid w:val="5E40626B"/>
    <w:rsid w:val="5E4C10B3"/>
    <w:rsid w:val="5E4F2952"/>
    <w:rsid w:val="5E525F9E"/>
    <w:rsid w:val="5E553050"/>
    <w:rsid w:val="5E6261E1"/>
    <w:rsid w:val="5E6463FD"/>
    <w:rsid w:val="5E7D126D"/>
    <w:rsid w:val="5E80256B"/>
    <w:rsid w:val="5E850121"/>
    <w:rsid w:val="5E884785"/>
    <w:rsid w:val="5E895E64"/>
    <w:rsid w:val="5E9A7145"/>
    <w:rsid w:val="5E9B5B97"/>
    <w:rsid w:val="5E9B7945"/>
    <w:rsid w:val="5EA507C4"/>
    <w:rsid w:val="5EA66A16"/>
    <w:rsid w:val="5EA70098"/>
    <w:rsid w:val="5EAE0B30"/>
    <w:rsid w:val="5EBD78BB"/>
    <w:rsid w:val="5EBE53E1"/>
    <w:rsid w:val="5EC21376"/>
    <w:rsid w:val="5EC321E1"/>
    <w:rsid w:val="5EC36172"/>
    <w:rsid w:val="5ECC7AFE"/>
    <w:rsid w:val="5ED115B9"/>
    <w:rsid w:val="5EDB26A8"/>
    <w:rsid w:val="5EDC2437"/>
    <w:rsid w:val="5EE61F0E"/>
    <w:rsid w:val="5EE9133C"/>
    <w:rsid w:val="5EE971CA"/>
    <w:rsid w:val="5EF249E0"/>
    <w:rsid w:val="5EF41B8A"/>
    <w:rsid w:val="5EF7101F"/>
    <w:rsid w:val="5EFA28BD"/>
    <w:rsid w:val="5F04373C"/>
    <w:rsid w:val="5F0E5263"/>
    <w:rsid w:val="5F0F6C60"/>
    <w:rsid w:val="5F204EA0"/>
    <w:rsid w:val="5F261904"/>
    <w:rsid w:val="5F3439F6"/>
    <w:rsid w:val="5F3A53B0"/>
    <w:rsid w:val="5F441D8B"/>
    <w:rsid w:val="5F463D55"/>
    <w:rsid w:val="5F4F0E5B"/>
    <w:rsid w:val="5F5244A8"/>
    <w:rsid w:val="5F580AC3"/>
    <w:rsid w:val="5F62602F"/>
    <w:rsid w:val="5F6664B4"/>
    <w:rsid w:val="5F773F0E"/>
    <w:rsid w:val="5F775CBC"/>
    <w:rsid w:val="5F7943FF"/>
    <w:rsid w:val="5F7D7138"/>
    <w:rsid w:val="5F7E529D"/>
    <w:rsid w:val="5F8029B3"/>
    <w:rsid w:val="5F856825"/>
    <w:rsid w:val="5F8E562C"/>
    <w:rsid w:val="5F8F74AA"/>
    <w:rsid w:val="5F9B31C8"/>
    <w:rsid w:val="5FA7072F"/>
    <w:rsid w:val="5FB200B3"/>
    <w:rsid w:val="5FB40CBE"/>
    <w:rsid w:val="5FB817E0"/>
    <w:rsid w:val="5FBA6720"/>
    <w:rsid w:val="5FC83890"/>
    <w:rsid w:val="5FD4310E"/>
    <w:rsid w:val="5FE01AB3"/>
    <w:rsid w:val="5FEB0458"/>
    <w:rsid w:val="5FEC6E63"/>
    <w:rsid w:val="5FEE2705"/>
    <w:rsid w:val="5FEF619A"/>
    <w:rsid w:val="5FF4730D"/>
    <w:rsid w:val="5FFB7AAD"/>
    <w:rsid w:val="60145C01"/>
    <w:rsid w:val="601E7E4B"/>
    <w:rsid w:val="60233D0B"/>
    <w:rsid w:val="603242D9"/>
    <w:rsid w:val="60324EF9"/>
    <w:rsid w:val="603945A7"/>
    <w:rsid w:val="60402552"/>
    <w:rsid w:val="604B2450"/>
    <w:rsid w:val="604B5D68"/>
    <w:rsid w:val="604C539B"/>
    <w:rsid w:val="605341DF"/>
    <w:rsid w:val="6054424F"/>
    <w:rsid w:val="605D51AA"/>
    <w:rsid w:val="606036A1"/>
    <w:rsid w:val="6062071A"/>
    <w:rsid w:val="606C3347"/>
    <w:rsid w:val="606D5311"/>
    <w:rsid w:val="606E3D1A"/>
    <w:rsid w:val="60714E01"/>
    <w:rsid w:val="6078146D"/>
    <w:rsid w:val="6081108F"/>
    <w:rsid w:val="609B59DA"/>
    <w:rsid w:val="60AB42FB"/>
    <w:rsid w:val="60B45728"/>
    <w:rsid w:val="60BA67A8"/>
    <w:rsid w:val="60BC48ED"/>
    <w:rsid w:val="60BE2049"/>
    <w:rsid w:val="60C34D4A"/>
    <w:rsid w:val="60C66622"/>
    <w:rsid w:val="60C90799"/>
    <w:rsid w:val="60DB47CF"/>
    <w:rsid w:val="60DF2CBD"/>
    <w:rsid w:val="60E05AE3"/>
    <w:rsid w:val="60E530F9"/>
    <w:rsid w:val="60E74213"/>
    <w:rsid w:val="60F106E7"/>
    <w:rsid w:val="61021EFD"/>
    <w:rsid w:val="61047A23"/>
    <w:rsid w:val="612E62A0"/>
    <w:rsid w:val="614121A9"/>
    <w:rsid w:val="614400FC"/>
    <w:rsid w:val="614B5652"/>
    <w:rsid w:val="614E0C9F"/>
    <w:rsid w:val="615446EC"/>
    <w:rsid w:val="615C33BC"/>
    <w:rsid w:val="61630BEE"/>
    <w:rsid w:val="61753200"/>
    <w:rsid w:val="61843E10"/>
    <w:rsid w:val="61882403"/>
    <w:rsid w:val="618A4B85"/>
    <w:rsid w:val="619A2136"/>
    <w:rsid w:val="619A641C"/>
    <w:rsid w:val="619D22F7"/>
    <w:rsid w:val="61A1534E"/>
    <w:rsid w:val="61A86601"/>
    <w:rsid w:val="61AA6976"/>
    <w:rsid w:val="61AF3E33"/>
    <w:rsid w:val="61C55405"/>
    <w:rsid w:val="61CB0541"/>
    <w:rsid w:val="61D97B1C"/>
    <w:rsid w:val="61DE6668"/>
    <w:rsid w:val="61E55DB9"/>
    <w:rsid w:val="61ED495B"/>
    <w:rsid w:val="61FA7C8C"/>
    <w:rsid w:val="620677CB"/>
    <w:rsid w:val="62081A66"/>
    <w:rsid w:val="62113DBF"/>
    <w:rsid w:val="62256D4A"/>
    <w:rsid w:val="62342396"/>
    <w:rsid w:val="62344338"/>
    <w:rsid w:val="623460E6"/>
    <w:rsid w:val="62373E29"/>
    <w:rsid w:val="623D470B"/>
    <w:rsid w:val="623E5017"/>
    <w:rsid w:val="6243457B"/>
    <w:rsid w:val="624D0F56"/>
    <w:rsid w:val="62500A46"/>
    <w:rsid w:val="625247BE"/>
    <w:rsid w:val="625642AF"/>
    <w:rsid w:val="62570027"/>
    <w:rsid w:val="625E12A9"/>
    <w:rsid w:val="62612C54"/>
    <w:rsid w:val="6264152B"/>
    <w:rsid w:val="62652744"/>
    <w:rsid w:val="626A1B08"/>
    <w:rsid w:val="626B762E"/>
    <w:rsid w:val="626D3C1F"/>
    <w:rsid w:val="62762BED"/>
    <w:rsid w:val="62774225"/>
    <w:rsid w:val="627C183B"/>
    <w:rsid w:val="627E26E1"/>
    <w:rsid w:val="628A205E"/>
    <w:rsid w:val="628A520B"/>
    <w:rsid w:val="628D57F7"/>
    <w:rsid w:val="6291178B"/>
    <w:rsid w:val="6299063F"/>
    <w:rsid w:val="6299419B"/>
    <w:rsid w:val="629C01A7"/>
    <w:rsid w:val="62A241F2"/>
    <w:rsid w:val="62AB5146"/>
    <w:rsid w:val="62AF7E63"/>
    <w:rsid w:val="62B965EC"/>
    <w:rsid w:val="62BF2ADF"/>
    <w:rsid w:val="62C456BC"/>
    <w:rsid w:val="62CD438A"/>
    <w:rsid w:val="62D24D4B"/>
    <w:rsid w:val="62DD7151"/>
    <w:rsid w:val="62DF2D7C"/>
    <w:rsid w:val="62E0626E"/>
    <w:rsid w:val="62E74204"/>
    <w:rsid w:val="62F53AC8"/>
    <w:rsid w:val="62F96812"/>
    <w:rsid w:val="62FF591F"/>
    <w:rsid w:val="63071169"/>
    <w:rsid w:val="63076771"/>
    <w:rsid w:val="63100901"/>
    <w:rsid w:val="63180919"/>
    <w:rsid w:val="631B72A6"/>
    <w:rsid w:val="63223D16"/>
    <w:rsid w:val="6323782A"/>
    <w:rsid w:val="63354200"/>
    <w:rsid w:val="63381C06"/>
    <w:rsid w:val="633E2694"/>
    <w:rsid w:val="634911CA"/>
    <w:rsid w:val="634A36E8"/>
    <w:rsid w:val="634C3904"/>
    <w:rsid w:val="6353259C"/>
    <w:rsid w:val="635602DE"/>
    <w:rsid w:val="635B2744"/>
    <w:rsid w:val="635C3B47"/>
    <w:rsid w:val="63640C4D"/>
    <w:rsid w:val="636C5CA4"/>
    <w:rsid w:val="6371654F"/>
    <w:rsid w:val="6377272F"/>
    <w:rsid w:val="637B4E93"/>
    <w:rsid w:val="6393508F"/>
    <w:rsid w:val="639A41F4"/>
    <w:rsid w:val="63A4104A"/>
    <w:rsid w:val="63A469EA"/>
    <w:rsid w:val="63B07D2A"/>
    <w:rsid w:val="63B35731"/>
    <w:rsid w:val="63B868A3"/>
    <w:rsid w:val="63BA27ED"/>
    <w:rsid w:val="63CC63FA"/>
    <w:rsid w:val="63CE152C"/>
    <w:rsid w:val="63D07143"/>
    <w:rsid w:val="63DA0F0F"/>
    <w:rsid w:val="63E36016"/>
    <w:rsid w:val="63E9766D"/>
    <w:rsid w:val="63F7386F"/>
    <w:rsid w:val="63F81D46"/>
    <w:rsid w:val="63F903F0"/>
    <w:rsid w:val="63FA4A7A"/>
    <w:rsid w:val="64025D70"/>
    <w:rsid w:val="640815D9"/>
    <w:rsid w:val="640E2967"/>
    <w:rsid w:val="641509B4"/>
    <w:rsid w:val="6417181C"/>
    <w:rsid w:val="641C5084"/>
    <w:rsid w:val="641E0DFC"/>
    <w:rsid w:val="642277FE"/>
    <w:rsid w:val="6428153C"/>
    <w:rsid w:val="642A3085"/>
    <w:rsid w:val="643423CE"/>
    <w:rsid w:val="643F7447"/>
    <w:rsid w:val="644D1F8D"/>
    <w:rsid w:val="644E6E76"/>
    <w:rsid w:val="64502F80"/>
    <w:rsid w:val="64524F45"/>
    <w:rsid w:val="64606C20"/>
    <w:rsid w:val="64631436"/>
    <w:rsid w:val="64632CB3"/>
    <w:rsid w:val="646A4041"/>
    <w:rsid w:val="64737FA7"/>
    <w:rsid w:val="647749B0"/>
    <w:rsid w:val="648373FE"/>
    <w:rsid w:val="648455F4"/>
    <w:rsid w:val="648D076A"/>
    <w:rsid w:val="649021A4"/>
    <w:rsid w:val="649C7F73"/>
    <w:rsid w:val="649F1CD6"/>
    <w:rsid w:val="64A05CB5"/>
    <w:rsid w:val="64AD3F2E"/>
    <w:rsid w:val="64AF5EF8"/>
    <w:rsid w:val="64B17EC2"/>
    <w:rsid w:val="64B61035"/>
    <w:rsid w:val="64BE613B"/>
    <w:rsid w:val="64C01EB3"/>
    <w:rsid w:val="64C179D9"/>
    <w:rsid w:val="64C23E7D"/>
    <w:rsid w:val="64C53799"/>
    <w:rsid w:val="64C5396E"/>
    <w:rsid w:val="64D17821"/>
    <w:rsid w:val="64D911C7"/>
    <w:rsid w:val="64D94D23"/>
    <w:rsid w:val="64DA2918"/>
    <w:rsid w:val="64DA7159"/>
    <w:rsid w:val="64E35BA2"/>
    <w:rsid w:val="64FD6C64"/>
    <w:rsid w:val="650C6EA7"/>
    <w:rsid w:val="650E0C05"/>
    <w:rsid w:val="65301691"/>
    <w:rsid w:val="653468AC"/>
    <w:rsid w:val="65384A6E"/>
    <w:rsid w:val="653B4AC2"/>
    <w:rsid w:val="65402A3F"/>
    <w:rsid w:val="65490F56"/>
    <w:rsid w:val="654A6B6F"/>
    <w:rsid w:val="654E5711"/>
    <w:rsid w:val="655B7516"/>
    <w:rsid w:val="656E7C52"/>
    <w:rsid w:val="6575198C"/>
    <w:rsid w:val="65764C68"/>
    <w:rsid w:val="65801B6B"/>
    <w:rsid w:val="65856959"/>
    <w:rsid w:val="65986A82"/>
    <w:rsid w:val="659F41BF"/>
    <w:rsid w:val="65B93229"/>
    <w:rsid w:val="65C23A09"/>
    <w:rsid w:val="65C6272B"/>
    <w:rsid w:val="65CC6FD3"/>
    <w:rsid w:val="65D6331D"/>
    <w:rsid w:val="65D73958"/>
    <w:rsid w:val="65D96798"/>
    <w:rsid w:val="65DA6FA5"/>
    <w:rsid w:val="65EB00B0"/>
    <w:rsid w:val="65ED6CD8"/>
    <w:rsid w:val="65F060C8"/>
    <w:rsid w:val="65F067C8"/>
    <w:rsid w:val="65F75DA9"/>
    <w:rsid w:val="65FA13F5"/>
    <w:rsid w:val="65FB12FD"/>
    <w:rsid w:val="65FB1453"/>
    <w:rsid w:val="66061B48"/>
    <w:rsid w:val="660D43E6"/>
    <w:rsid w:val="660F6EA9"/>
    <w:rsid w:val="66157FDD"/>
    <w:rsid w:val="661A2FC7"/>
    <w:rsid w:val="662329DD"/>
    <w:rsid w:val="66291A75"/>
    <w:rsid w:val="662E5105"/>
    <w:rsid w:val="662E541A"/>
    <w:rsid w:val="66415276"/>
    <w:rsid w:val="6645639C"/>
    <w:rsid w:val="66477750"/>
    <w:rsid w:val="66495ED8"/>
    <w:rsid w:val="664D3C1B"/>
    <w:rsid w:val="665279AD"/>
    <w:rsid w:val="66587096"/>
    <w:rsid w:val="665A1E94"/>
    <w:rsid w:val="667016B7"/>
    <w:rsid w:val="66734968"/>
    <w:rsid w:val="667440E4"/>
    <w:rsid w:val="66786EE9"/>
    <w:rsid w:val="667A44F3"/>
    <w:rsid w:val="66815672"/>
    <w:rsid w:val="66832823"/>
    <w:rsid w:val="668D2269"/>
    <w:rsid w:val="66924E7E"/>
    <w:rsid w:val="669E26A9"/>
    <w:rsid w:val="66A001EE"/>
    <w:rsid w:val="66A27075"/>
    <w:rsid w:val="66A51361"/>
    <w:rsid w:val="66AD24F1"/>
    <w:rsid w:val="66AD46B9"/>
    <w:rsid w:val="66AD6AFC"/>
    <w:rsid w:val="66CC7EEE"/>
    <w:rsid w:val="66D33520"/>
    <w:rsid w:val="66D954AE"/>
    <w:rsid w:val="66DB4A1E"/>
    <w:rsid w:val="66E52236"/>
    <w:rsid w:val="66F13767"/>
    <w:rsid w:val="670A38BA"/>
    <w:rsid w:val="670D0B77"/>
    <w:rsid w:val="670F1A60"/>
    <w:rsid w:val="67126AFE"/>
    <w:rsid w:val="672131A8"/>
    <w:rsid w:val="672C3830"/>
    <w:rsid w:val="67320AA5"/>
    <w:rsid w:val="67397CFB"/>
    <w:rsid w:val="673A4FBE"/>
    <w:rsid w:val="673A6F52"/>
    <w:rsid w:val="673D6D3E"/>
    <w:rsid w:val="674520EC"/>
    <w:rsid w:val="674C0FFA"/>
    <w:rsid w:val="67513297"/>
    <w:rsid w:val="67530DBD"/>
    <w:rsid w:val="675863D3"/>
    <w:rsid w:val="675B44A0"/>
    <w:rsid w:val="675F3C06"/>
    <w:rsid w:val="6761234C"/>
    <w:rsid w:val="67613404"/>
    <w:rsid w:val="67786145"/>
    <w:rsid w:val="677B5528"/>
    <w:rsid w:val="677B6565"/>
    <w:rsid w:val="678C0773"/>
    <w:rsid w:val="678F3DBF"/>
    <w:rsid w:val="67957627"/>
    <w:rsid w:val="67A17A9C"/>
    <w:rsid w:val="67A91325"/>
    <w:rsid w:val="67AF5C35"/>
    <w:rsid w:val="67B11F87"/>
    <w:rsid w:val="67B20BAC"/>
    <w:rsid w:val="67B26E59"/>
    <w:rsid w:val="67B30523"/>
    <w:rsid w:val="67B43BAE"/>
    <w:rsid w:val="67B657F0"/>
    <w:rsid w:val="67B83180"/>
    <w:rsid w:val="67BA4365"/>
    <w:rsid w:val="67BB17E8"/>
    <w:rsid w:val="67BC1058"/>
    <w:rsid w:val="67BE346E"/>
    <w:rsid w:val="67C1666E"/>
    <w:rsid w:val="67C73559"/>
    <w:rsid w:val="67C9107F"/>
    <w:rsid w:val="67CE48E7"/>
    <w:rsid w:val="67D55C76"/>
    <w:rsid w:val="67D57A24"/>
    <w:rsid w:val="67DA7730"/>
    <w:rsid w:val="67DC6B15"/>
    <w:rsid w:val="67E67E83"/>
    <w:rsid w:val="67E96EC2"/>
    <w:rsid w:val="67F32768"/>
    <w:rsid w:val="67FA392E"/>
    <w:rsid w:val="67FA56DC"/>
    <w:rsid w:val="67FD51CC"/>
    <w:rsid w:val="68000819"/>
    <w:rsid w:val="68076792"/>
    <w:rsid w:val="68093A3C"/>
    <w:rsid w:val="682155DE"/>
    <w:rsid w:val="68294213"/>
    <w:rsid w:val="68301E28"/>
    <w:rsid w:val="6832131A"/>
    <w:rsid w:val="68336E40"/>
    <w:rsid w:val="68354966"/>
    <w:rsid w:val="683C0EBD"/>
    <w:rsid w:val="683D52A7"/>
    <w:rsid w:val="68424832"/>
    <w:rsid w:val="68476448"/>
    <w:rsid w:val="68477538"/>
    <w:rsid w:val="68504774"/>
    <w:rsid w:val="68556F94"/>
    <w:rsid w:val="685A43CD"/>
    <w:rsid w:val="685B53D9"/>
    <w:rsid w:val="685C6397"/>
    <w:rsid w:val="686261C8"/>
    <w:rsid w:val="68635ADE"/>
    <w:rsid w:val="6864524C"/>
    <w:rsid w:val="68680898"/>
    <w:rsid w:val="68684D3C"/>
    <w:rsid w:val="68692862"/>
    <w:rsid w:val="686A409C"/>
    <w:rsid w:val="686D4100"/>
    <w:rsid w:val="687206BE"/>
    <w:rsid w:val="68724651"/>
    <w:rsid w:val="68725BBA"/>
    <w:rsid w:val="6877495A"/>
    <w:rsid w:val="68975621"/>
    <w:rsid w:val="68A33FC6"/>
    <w:rsid w:val="68B45D72"/>
    <w:rsid w:val="68C305E8"/>
    <w:rsid w:val="68C561B8"/>
    <w:rsid w:val="68C83273"/>
    <w:rsid w:val="68CF0917"/>
    <w:rsid w:val="68E343C2"/>
    <w:rsid w:val="68E51EE8"/>
    <w:rsid w:val="68F61C88"/>
    <w:rsid w:val="68FD06DE"/>
    <w:rsid w:val="6900058A"/>
    <w:rsid w:val="69013CA0"/>
    <w:rsid w:val="69026F3E"/>
    <w:rsid w:val="690311CC"/>
    <w:rsid w:val="690B012A"/>
    <w:rsid w:val="690F2D41"/>
    <w:rsid w:val="69196036"/>
    <w:rsid w:val="691D3B46"/>
    <w:rsid w:val="69207B74"/>
    <w:rsid w:val="692C3FBB"/>
    <w:rsid w:val="6936475D"/>
    <w:rsid w:val="693A5826"/>
    <w:rsid w:val="694B4902"/>
    <w:rsid w:val="694B76BF"/>
    <w:rsid w:val="694F0B69"/>
    <w:rsid w:val="69531548"/>
    <w:rsid w:val="695928D6"/>
    <w:rsid w:val="695C3D05"/>
    <w:rsid w:val="697B284D"/>
    <w:rsid w:val="697E43E9"/>
    <w:rsid w:val="698060B5"/>
    <w:rsid w:val="69812554"/>
    <w:rsid w:val="69827F32"/>
    <w:rsid w:val="69872637"/>
    <w:rsid w:val="69873285"/>
    <w:rsid w:val="69877444"/>
    <w:rsid w:val="69966C52"/>
    <w:rsid w:val="699B2EEF"/>
    <w:rsid w:val="699B4C9D"/>
    <w:rsid w:val="699F5234"/>
    <w:rsid w:val="69A00347"/>
    <w:rsid w:val="69AD39B4"/>
    <w:rsid w:val="69B61AD7"/>
    <w:rsid w:val="69BA1270"/>
    <w:rsid w:val="69BD2E65"/>
    <w:rsid w:val="69BD4C13"/>
    <w:rsid w:val="69C15936"/>
    <w:rsid w:val="69C940D0"/>
    <w:rsid w:val="69CE10C6"/>
    <w:rsid w:val="69D108D6"/>
    <w:rsid w:val="69D41F5D"/>
    <w:rsid w:val="69E1767B"/>
    <w:rsid w:val="69E416D3"/>
    <w:rsid w:val="69EA3AC1"/>
    <w:rsid w:val="69EE1271"/>
    <w:rsid w:val="69F279D3"/>
    <w:rsid w:val="69F34AD9"/>
    <w:rsid w:val="69FE4B39"/>
    <w:rsid w:val="6A022F6E"/>
    <w:rsid w:val="6A102F95"/>
    <w:rsid w:val="6A1030EB"/>
    <w:rsid w:val="6A1231B1"/>
    <w:rsid w:val="6A1A2066"/>
    <w:rsid w:val="6A260B2B"/>
    <w:rsid w:val="6A261962"/>
    <w:rsid w:val="6A2A628A"/>
    <w:rsid w:val="6A3C6480"/>
    <w:rsid w:val="6A407B25"/>
    <w:rsid w:val="6A41737A"/>
    <w:rsid w:val="6A423690"/>
    <w:rsid w:val="6A487296"/>
    <w:rsid w:val="6A5437CA"/>
    <w:rsid w:val="6A554E4C"/>
    <w:rsid w:val="6A625F67"/>
    <w:rsid w:val="6A633A0D"/>
    <w:rsid w:val="6A6E4160"/>
    <w:rsid w:val="6A6F2322"/>
    <w:rsid w:val="6A771266"/>
    <w:rsid w:val="6A7F011B"/>
    <w:rsid w:val="6A8219B9"/>
    <w:rsid w:val="6A841D70"/>
    <w:rsid w:val="6A994B0A"/>
    <w:rsid w:val="6A9A4F55"/>
    <w:rsid w:val="6A9B0F58"/>
    <w:rsid w:val="6AA74257"/>
    <w:rsid w:val="6AAE27AE"/>
    <w:rsid w:val="6AB02EC8"/>
    <w:rsid w:val="6AB11CBA"/>
    <w:rsid w:val="6AB26742"/>
    <w:rsid w:val="6ABA55F7"/>
    <w:rsid w:val="6ABB3713"/>
    <w:rsid w:val="6AC56475"/>
    <w:rsid w:val="6ACB4EE3"/>
    <w:rsid w:val="6ACF2E50"/>
    <w:rsid w:val="6AD71D05"/>
    <w:rsid w:val="6ADC37BF"/>
    <w:rsid w:val="6ADC731B"/>
    <w:rsid w:val="6AE12BE7"/>
    <w:rsid w:val="6AE82164"/>
    <w:rsid w:val="6AED1528"/>
    <w:rsid w:val="6AF44665"/>
    <w:rsid w:val="6AFC79BD"/>
    <w:rsid w:val="6B122D3D"/>
    <w:rsid w:val="6B203091"/>
    <w:rsid w:val="6B2111D2"/>
    <w:rsid w:val="6B252A70"/>
    <w:rsid w:val="6B2F38EF"/>
    <w:rsid w:val="6B317FFC"/>
    <w:rsid w:val="6B501092"/>
    <w:rsid w:val="6B6E5A3C"/>
    <w:rsid w:val="6B881251"/>
    <w:rsid w:val="6B8856C9"/>
    <w:rsid w:val="6B9A16B0"/>
    <w:rsid w:val="6B9C7CC4"/>
    <w:rsid w:val="6BA629CB"/>
    <w:rsid w:val="6BB32772"/>
    <w:rsid w:val="6BBB33D4"/>
    <w:rsid w:val="6BC27E90"/>
    <w:rsid w:val="6BCF6E80"/>
    <w:rsid w:val="6BD11A5F"/>
    <w:rsid w:val="6BD237BA"/>
    <w:rsid w:val="6BD3071E"/>
    <w:rsid w:val="6BD66460"/>
    <w:rsid w:val="6BDE371D"/>
    <w:rsid w:val="6BE40B7D"/>
    <w:rsid w:val="6BEA51DB"/>
    <w:rsid w:val="6BF44EAF"/>
    <w:rsid w:val="6BF57A6F"/>
    <w:rsid w:val="6BF66210"/>
    <w:rsid w:val="6BFA214F"/>
    <w:rsid w:val="6BFC69A4"/>
    <w:rsid w:val="6C0834F2"/>
    <w:rsid w:val="6C0B0B95"/>
    <w:rsid w:val="6C103720"/>
    <w:rsid w:val="6C1B20C5"/>
    <w:rsid w:val="6C1C27D3"/>
    <w:rsid w:val="6C252D55"/>
    <w:rsid w:val="6C276CBC"/>
    <w:rsid w:val="6C341BAE"/>
    <w:rsid w:val="6C3C2767"/>
    <w:rsid w:val="6C4367F5"/>
    <w:rsid w:val="6C541E33"/>
    <w:rsid w:val="6C5609C2"/>
    <w:rsid w:val="6C5A2BED"/>
    <w:rsid w:val="6C5B3B03"/>
    <w:rsid w:val="6C5C0714"/>
    <w:rsid w:val="6C5C6136"/>
    <w:rsid w:val="6C63511F"/>
    <w:rsid w:val="6C645694"/>
    <w:rsid w:val="6C6B2B9E"/>
    <w:rsid w:val="6C6C5C5F"/>
    <w:rsid w:val="6C7B4FDE"/>
    <w:rsid w:val="6C7C0DB6"/>
    <w:rsid w:val="6C7C4972"/>
    <w:rsid w:val="6C823EF2"/>
    <w:rsid w:val="6C8253AF"/>
    <w:rsid w:val="6C832144"/>
    <w:rsid w:val="6C8B0FF9"/>
    <w:rsid w:val="6C8D2FC3"/>
    <w:rsid w:val="6C8E0883"/>
    <w:rsid w:val="6C8E1FC4"/>
    <w:rsid w:val="6C956751"/>
    <w:rsid w:val="6C9A3214"/>
    <w:rsid w:val="6C9C1458"/>
    <w:rsid w:val="6C9C4FB4"/>
    <w:rsid w:val="6CA64085"/>
    <w:rsid w:val="6CAB0638"/>
    <w:rsid w:val="6CAE6A95"/>
    <w:rsid w:val="6CB0278D"/>
    <w:rsid w:val="6CB03628"/>
    <w:rsid w:val="6CBC11B2"/>
    <w:rsid w:val="6CC60283"/>
    <w:rsid w:val="6CDF71C6"/>
    <w:rsid w:val="6CE63F9D"/>
    <w:rsid w:val="6CF272CA"/>
    <w:rsid w:val="6CFA75BF"/>
    <w:rsid w:val="6CFE7A1D"/>
    <w:rsid w:val="6D04082D"/>
    <w:rsid w:val="6D042B59"/>
    <w:rsid w:val="6D06377B"/>
    <w:rsid w:val="6D0A14BC"/>
    <w:rsid w:val="6D0A63C2"/>
    <w:rsid w:val="6D11589E"/>
    <w:rsid w:val="6D156B14"/>
    <w:rsid w:val="6D1E3C1B"/>
    <w:rsid w:val="6D1F412E"/>
    <w:rsid w:val="6D2869AA"/>
    <w:rsid w:val="6D2D296A"/>
    <w:rsid w:val="6D473593"/>
    <w:rsid w:val="6D5238C5"/>
    <w:rsid w:val="6D543AE1"/>
    <w:rsid w:val="6D5B09CB"/>
    <w:rsid w:val="6D627318"/>
    <w:rsid w:val="6D727A37"/>
    <w:rsid w:val="6D792D55"/>
    <w:rsid w:val="6D874D7F"/>
    <w:rsid w:val="6D8A12B0"/>
    <w:rsid w:val="6D8A5754"/>
    <w:rsid w:val="6D8A760B"/>
    <w:rsid w:val="6D8C553B"/>
    <w:rsid w:val="6D960FD3"/>
    <w:rsid w:val="6D992125"/>
    <w:rsid w:val="6D9A2F35"/>
    <w:rsid w:val="6D9B34BE"/>
    <w:rsid w:val="6D9E7831"/>
    <w:rsid w:val="6DA044A1"/>
    <w:rsid w:val="6DA9017B"/>
    <w:rsid w:val="6DB77697"/>
    <w:rsid w:val="6DC36570"/>
    <w:rsid w:val="6DC9002B"/>
    <w:rsid w:val="6DCB45E0"/>
    <w:rsid w:val="6DD16EDF"/>
    <w:rsid w:val="6DDC0AF7"/>
    <w:rsid w:val="6DDD400A"/>
    <w:rsid w:val="6DE77217"/>
    <w:rsid w:val="6DEE183F"/>
    <w:rsid w:val="6DF130DE"/>
    <w:rsid w:val="6DF64B98"/>
    <w:rsid w:val="6E0019C9"/>
    <w:rsid w:val="6E02353D"/>
    <w:rsid w:val="6E023906"/>
    <w:rsid w:val="6E130E35"/>
    <w:rsid w:val="6E201C15"/>
    <w:rsid w:val="6E202809"/>
    <w:rsid w:val="6E4504C3"/>
    <w:rsid w:val="6E4771A1"/>
    <w:rsid w:val="6E4844C0"/>
    <w:rsid w:val="6E5A3218"/>
    <w:rsid w:val="6E5B2A05"/>
    <w:rsid w:val="6E5B49FB"/>
    <w:rsid w:val="6E5B7DF5"/>
    <w:rsid w:val="6E6164B5"/>
    <w:rsid w:val="6E69536A"/>
    <w:rsid w:val="6E755ABD"/>
    <w:rsid w:val="6E891568"/>
    <w:rsid w:val="6E9F642F"/>
    <w:rsid w:val="6EA13DB5"/>
    <w:rsid w:val="6EA75E92"/>
    <w:rsid w:val="6EBA0F55"/>
    <w:rsid w:val="6EBD1212"/>
    <w:rsid w:val="6EBE79FD"/>
    <w:rsid w:val="6EC922AC"/>
    <w:rsid w:val="6ECC76A7"/>
    <w:rsid w:val="6ECD2106"/>
    <w:rsid w:val="6EDD3662"/>
    <w:rsid w:val="6EDE4536"/>
    <w:rsid w:val="6EE03EC0"/>
    <w:rsid w:val="6EE31AAA"/>
    <w:rsid w:val="6EE449F0"/>
    <w:rsid w:val="6EE90D5D"/>
    <w:rsid w:val="6EED5F9B"/>
    <w:rsid w:val="6F0B4673"/>
    <w:rsid w:val="6F0D1066"/>
    <w:rsid w:val="6F125A01"/>
    <w:rsid w:val="6F1277AF"/>
    <w:rsid w:val="6F192753"/>
    <w:rsid w:val="6F1A3BE3"/>
    <w:rsid w:val="6F1C062E"/>
    <w:rsid w:val="6F213E96"/>
    <w:rsid w:val="6F231C35"/>
    <w:rsid w:val="6F241291"/>
    <w:rsid w:val="6F251508"/>
    <w:rsid w:val="6F280DD2"/>
    <w:rsid w:val="6F2B0871"/>
    <w:rsid w:val="6F3043BB"/>
    <w:rsid w:val="6F343BCA"/>
    <w:rsid w:val="6F355BD9"/>
    <w:rsid w:val="6F377216"/>
    <w:rsid w:val="6F3C2A7E"/>
    <w:rsid w:val="6F4247C4"/>
    <w:rsid w:val="6F451933"/>
    <w:rsid w:val="6F486B64"/>
    <w:rsid w:val="6F4D07E7"/>
    <w:rsid w:val="6F4D3531"/>
    <w:rsid w:val="6F4F630E"/>
    <w:rsid w:val="6F541B76"/>
    <w:rsid w:val="6F551878"/>
    <w:rsid w:val="6F586D15"/>
    <w:rsid w:val="6F590B25"/>
    <w:rsid w:val="6F63625D"/>
    <w:rsid w:val="6F6747FF"/>
    <w:rsid w:val="6F7264A0"/>
    <w:rsid w:val="6F833514"/>
    <w:rsid w:val="6F9E54E7"/>
    <w:rsid w:val="6FAC3760"/>
    <w:rsid w:val="6FB61627"/>
    <w:rsid w:val="6FCB0793"/>
    <w:rsid w:val="6FCD12F8"/>
    <w:rsid w:val="6FCF38F2"/>
    <w:rsid w:val="6FD61B3F"/>
    <w:rsid w:val="6FDD4DE6"/>
    <w:rsid w:val="6FE70842"/>
    <w:rsid w:val="6FEC0A99"/>
    <w:rsid w:val="6FF60E7F"/>
    <w:rsid w:val="6FF70753"/>
    <w:rsid w:val="6FF85BF5"/>
    <w:rsid w:val="6FF869A5"/>
    <w:rsid w:val="6FFE517D"/>
    <w:rsid w:val="70082960"/>
    <w:rsid w:val="70086C47"/>
    <w:rsid w:val="70330B0B"/>
    <w:rsid w:val="703D6AAE"/>
    <w:rsid w:val="7040268B"/>
    <w:rsid w:val="70462273"/>
    <w:rsid w:val="705910EE"/>
    <w:rsid w:val="7063345C"/>
    <w:rsid w:val="70651B61"/>
    <w:rsid w:val="706525CA"/>
    <w:rsid w:val="706758D9"/>
    <w:rsid w:val="706A3CB1"/>
    <w:rsid w:val="70734297"/>
    <w:rsid w:val="70756248"/>
    <w:rsid w:val="70820965"/>
    <w:rsid w:val="70822713"/>
    <w:rsid w:val="70874659"/>
    <w:rsid w:val="70884B0E"/>
    <w:rsid w:val="70910BA8"/>
    <w:rsid w:val="709366CE"/>
    <w:rsid w:val="70975226"/>
    <w:rsid w:val="709759D4"/>
    <w:rsid w:val="70A00DEB"/>
    <w:rsid w:val="70AB3A18"/>
    <w:rsid w:val="70AC7790"/>
    <w:rsid w:val="70B9680F"/>
    <w:rsid w:val="70BF5715"/>
    <w:rsid w:val="70CC520D"/>
    <w:rsid w:val="70CD58B1"/>
    <w:rsid w:val="70CE3BAA"/>
    <w:rsid w:val="70D07922"/>
    <w:rsid w:val="70D9539B"/>
    <w:rsid w:val="70DA42FD"/>
    <w:rsid w:val="70DA4E7A"/>
    <w:rsid w:val="70DF36C1"/>
    <w:rsid w:val="70E36101"/>
    <w:rsid w:val="70E47A1F"/>
    <w:rsid w:val="70E62CA2"/>
    <w:rsid w:val="70ED4030"/>
    <w:rsid w:val="70EE7C99"/>
    <w:rsid w:val="70FC24C5"/>
    <w:rsid w:val="71014508"/>
    <w:rsid w:val="710C38C8"/>
    <w:rsid w:val="71147636"/>
    <w:rsid w:val="712D3CB8"/>
    <w:rsid w:val="712D6B22"/>
    <w:rsid w:val="712E54BC"/>
    <w:rsid w:val="712F49A0"/>
    <w:rsid w:val="71326490"/>
    <w:rsid w:val="71333A0D"/>
    <w:rsid w:val="713779A1"/>
    <w:rsid w:val="713C0B14"/>
    <w:rsid w:val="71400A60"/>
    <w:rsid w:val="71433DD8"/>
    <w:rsid w:val="71500CAB"/>
    <w:rsid w:val="715220E5"/>
    <w:rsid w:val="71557E27"/>
    <w:rsid w:val="715A3DCC"/>
    <w:rsid w:val="715C11B6"/>
    <w:rsid w:val="715F2A54"/>
    <w:rsid w:val="71681909"/>
    <w:rsid w:val="716B0D93"/>
    <w:rsid w:val="717E112C"/>
    <w:rsid w:val="71841251"/>
    <w:rsid w:val="719B7F30"/>
    <w:rsid w:val="71A31C23"/>
    <w:rsid w:val="71A36DE5"/>
    <w:rsid w:val="71C2667D"/>
    <w:rsid w:val="71C503F2"/>
    <w:rsid w:val="71CD751C"/>
    <w:rsid w:val="71CE09AC"/>
    <w:rsid w:val="71E03B95"/>
    <w:rsid w:val="71E35433"/>
    <w:rsid w:val="71EA67C2"/>
    <w:rsid w:val="71F3606C"/>
    <w:rsid w:val="71F40A38"/>
    <w:rsid w:val="72054D8D"/>
    <w:rsid w:val="720A29C0"/>
    <w:rsid w:val="720A6E64"/>
    <w:rsid w:val="721970A7"/>
    <w:rsid w:val="721A5B23"/>
    <w:rsid w:val="72200435"/>
    <w:rsid w:val="7220758D"/>
    <w:rsid w:val="72275320"/>
    <w:rsid w:val="7229553C"/>
    <w:rsid w:val="722C3C98"/>
    <w:rsid w:val="722F09F4"/>
    <w:rsid w:val="723143F0"/>
    <w:rsid w:val="7235272A"/>
    <w:rsid w:val="723756AD"/>
    <w:rsid w:val="723C589F"/>
    <w:rsid w:val="72413268"/>
    <w:rsid w:val="724203AC"/>
    <w:rsid w:val="72424B6E"/>
    <w:rsid w:val="72451C4A"/>
    <w:rsid w:val="72455511"/>
    <w:rsid w:val="724E66E8"/>
    <w:rsid w:val="725620A9"/>
    <w:rsid w:val="726F01C1"/>
    <w:rsid w:val="72707D75"/>
    <w:rsid w:val="72734A09"/>
    <w:rsid w:val="7280056A"/>
    <w:rsid w:val="72822E9E"/>
    <w:rsid w:val="72850298"/>
    <w:rsid w:val="728C73A4"/>
    <w:rsid w:val="729C0470"/>
    <w:rsid w:val="729E635B"/>
    <w:rsid w:val="72A5093A"/>
    <w:rsid w:val="72AE77EF"/>
    <w:rsid w:val="72B56CCB"/>
    <w:rsid w:val="72B77F95"/>
    <w:rsid w:val="72C26D78"/>
    <w:rsid w:val="72C44E88"/>
    <w:rsid w:val="72C60FDD"/>
    <w:rsid w:val="72C84D8A"/>
    <w:rsid w:val="72C93ABE"/>
    <w:rsid w:val="72C96499"/>
    <w:rsid w:val="72D07765"/>
    <w:rsid w:val="72D57472"/>
    <w:rsid w:val="72D61EE9"/>
    <w:rsid w:val="72D814E0"/>
    <w:rsid w:val="72DA6836"/>
    <w:rsid w:val="72DB43BD"/>
    <w:rsid w:val="72F71196"/>
    <w:rsid w:val="72F773E8"/>
    <w:rsid w:val="72FD0776"/>
    <w:rsid w:val="73045661"/>
    <w:rsid w:val="7306587D"/>
    <w:rsid w:val="730A50B3"/>
    <w:rsid w:val="731A1328"/>
    <w:rsid w:val="731A30D6"/>
    <w:rsid w:val="73214465"/>
    <w:rsid w:val="73223D39"/>
    <w:rsid w:val="73285E91"/>
    <w:rsid w:val="73357F10"/>
    <w:rsid w:val="733F0D8F"/>
    <w:rsid w:val="73410663"/>
    <w:rsid w:val="734372AC"/>
    <w:rsid w:val="73472096"/>
    <w:rsid w:val="734D7008"/>
    <w:rsid w:val="7353032E"/>
    <w:rsid w:val="73593759"/>
    <w:rsid w:val="735A7977"/>
    <w:rsid w:val="73682094"/>
    <w:rsid w:val="73683E42"/>
    <w:rsid w:val="73697BBA"/>
    <w:rsid w:val="737547B1"/>
    <w:rsid w:val="737954EF"/>
    <w:rsid w:val="737A5923"/>
    <w:rsid w:val="737E18B7"/>
    <w:rsid w:val="738549F4"/>
    <w:rsid w:val="73886292"/>
    <w:rsid w:val="73934B1B"/>
    <w:rsid w:val="739411A9"/>
    <w:rsid w:val="73983214"/>
    <w:rsid w:val="73A3131E"/>
    <w:rsid w:val="73A77589"/>
    <w:rsid w:val="73A86934"/>
    <w:rsid w:val="73BE3A62"/>
    <w:rsid w:val="73C5770C"/>
    <w:rsid w:val="73CB617F"/>
    <w:rsid w:val="73CC3338"/>
    <w:rsid w:val="73DB579E"/>
    <w:rsid w:val="73DF36C4"/>
    <w:rsid w:val="73E3171A"/>
    <w:rsid w:val="73EC1C67"/>
    <w:rsid w:val="73ED4347"/>
    <w:rsid w:val="73ED69CD"/>
    <w:rsid w:val="73F172D4"/>
    <w:rsid w:val="742A1ADF"/>
    <w:rsid w:val="743401C8"/>
    <w:rsid w:val="74375FCC"/>
    <w:rsid w:val="74406B6D"/>
    <w:rsid w:val="74463A57"/>
    <w:rsid w:val="7467643D"/>
    <w:rsid w:val="746C1AD7"/>
    <w:rsid w:val="74754C92"/>
    <w:rsid w:val="747D56CB"/>
    <w:rsid w:val="748240FE"/>
    <w:rsid w:val="74872D28"/>
    <w:rsid w:val="748F3650"/>
    <w:rsid w:val="7494275B"/>
    <w:rsid w:val="749E2749"/>
    <w:rsid w:val="749E3893"/>
    <w:rsid w:val="74A470FC"/>
    <w:rsid w:val="74A54E21"/>
    <w:rsid w:val="74AC5FB0"/>
    <w:rsid w:val="74B03CF2"/>
    <w:rsid w:val="74B11819"/>
    <w:rsid w:val="74B34DDB"/>
    <w:rsid w:val="74B9247B"/>
    <w:rsid w:val="74CC597A"/>
    <w:rsid w:val="74D448E6"/>
    <w:rsid w:val="74D571D5"/>
    <w:rsid w:val="74DD44A0"/>
    <w:rsid w:val="74E4574A"/>
    <w:rsid w:val="74EB4D2A"/>
    <w:rsid w:val="74F83132"/>
    <w:rsid w:val="752124FA"/>
    <w:rsid w:val="75224D5D"/>
    <w:rsid w:val="75235C29"/>
    <w:rsid w:val="752B3379"/>
    <w:rsid w:val="752C418C"/>
    <w:rsid w:val="75304D8B"/>
    <w:rsid w:val="75377F70"/>
    <w:rsid w:val="753D4E5A"/>
    <w:rsid w:val="754602D7"/>
    <w:rsid w:val="755340CC"/>
    <w:rsid w:val="75596138"/>
    <w:rsid w:val="75640639"/>
    <w:rsid w:val="75665388"/>
    <w:rsid w:val="757533C6"/>
    <w:rsid w:val="758A37C0"/>
    <w:rsid w:val="7598178A"/>
    <w:rsid w:val="7599686C"/>
    <w:rsid w:val="759F7DF7"/>
    <w:rsid w:val="75A629FF"/>
    <w:rsid w:val="75A66450"/>
    <w:rsid w:val="75B659C7"/>
    <w:rsid w:val="75B72E5F"/>
    <w:rsid w:val="75C6028F"/>
    <w:rsid w:val="75C8224F"/>
    <w:rsid w:val="75CA1AEF"/>
    <w:rsid w:val="75CB4C31"/>
    <w:rsid w:val="75D716AE"/>
    <w:rsid w:val="75DD5F7C"/>
    <w:rsid w:val="75DD6FE8"/>
    <w:rsid w:val="75E21461"/>
    <w:rsid w:val="75EA4FE2"/>
    <w:rsid w:val="75ED6880"/>
    <w:rsid w:val="75F05CC0"/>
    <w:rsid w:val="75F103B8"/>
    <w:rsid w:val="75F13B6A"/>
    <w:rsid w:val="75F220E9"/>
    <w:rsid w:val="75FB71EF"/>
    <w:rsid w:val="760B4BBF"/>
    <w:rsid w:val="761262E7"/>
    <w:rsid w:val="76161308"/>
    <w:rsid w:val="7618570A"/>
    <w:rsid w:val="7620086F"/>
    <w:rsid w:val="76202066"/>
    <w:rsid w:val="76283D5C"/>
    <w:rsid w:val="76312C11"/>
    <w:rsid w:val="763D3505"/>
    <w:rsid w:val="76495684"/>
    <w:rsid w:val="764D731F"/>
    <w:rsid w:val="7657019E"/>
    <w:rsid w:val="76644E66"/>
    <w:rsid w:val="766E526B"/>
    <w:rsid w:val="766F7295"/>
    <w:rsid w:val="76766876"/>
    <w:rsid w:val="767A67D7"/>
    <w:rsid w:val="768760FB"/>
    <w:rsid w:val="7688718E"/>
    <w:rsid w:val="76896296"/>
    <w:rsid w:val="768A03F3"/>
    <w:rsid w:val="76942367"/>
    <w:rsid w:val="76960CC6"/>
    <w:rsid w:val="76985AB4"/>
    <w:rsid w:val="769B62DC"/>
    <w:rsid w:val="76A24AAF"/>
    <w:rsid w:val="76B05F52"/>
    <w:rsid w:val="76B61368"/>
    <w:rsid w:val="76BB24DB"/>
    <w:rsid w:val="76BD26F7"/>
    <w:rsid w:val="76DB0DCF"/>
    <w:rsid w:val="76DB2B7D"/>
    <w:rsid w:val="76E32B82"/>
    <w:rsid w:val="76EC4D8A"/>
    <w:rsid w:val="76F26C14"/>
    <w:rsid w:val="76F81981"/>
    <w:rsid w:val="77004090"/>
    <w:rsid w:val="77037129"/>
    <w:rsid w:val="7705060A"/>
    <w:rsid w:val="771F319A"/>
    <w:rsid w:val="77240348"/>
    <w:rsid w:val="772E416A"/>
    <w:rsid w:val="77310BBD"/>
    <w:rsid w:val="7731279D"/>
    <w:rsid w:val="773951D1"/>
    <w:rsid w:val="773C4725"/>
    <w:rsid w:val="77530922"/>
    <w:rsid w:val="775F555C"/>
    <w:rsid w:val="77642B72"/>
    <w:rsid w:val="77681072"/>
    <w:rsid w:val="776940E2"/>
    <w:rsid w:val="776B0749"/>
    <w:rsid w:val="776B38EE"/>
    <w:rsid w:val="776C177B"/>
    <w:rsid w:val="776C1A0A"/>
    <w:rsid w:val="77731007"/>
    <w:rsid w:val="77764653"/>
    <w:rsid w:val="777F5BFE"/>
    <w:rsid w:val="77887ABD"/>
    <w:rsid w:val="77934B16"/>
    <w:rsid w:val="779416A9"/>
    <w:rsid w:val="77990862"/>
    <w:rsid w:val="779A7482"/>
    <w:rsid w:val="77A80561"/>
    <w:rsid w:val="77AC254C"/>
    <w:rsid w:val="77B07ED5"/>
    <w:rsid w:val="77B16794"/>
    <w:rsid w:val="77B204A9"/>
    <w:rsid w:val="77C409E2"/>
    <w:rsid w:val="77D311C4"/>
    <w:rsid w:val="77D45F4A"/>
    <w:rsid w:val="77E45A61"/>
    <w:rsid w:val="77FA7033"/>
    <w:rsid w:val="77FC724F"/>
    <w:rsid w:val="77FF392C"/>
    <w:rsid w:val="780A413A"/>
    <w:rsid w:val="780B56E4"/>
    <w:rsid w:val="78112D56"/>
    <w:rsid w:val="781B5927"/>
    <w:rsid w:val="781E5417"/>
    <w:rsid w:val="78263561"/>
    <w:rsid w:val="782D49AC"/>
    <w:rsid w:val="782E2738"/>
    <w:rsid w:val="78311FAC"/>
    <w:rsid w:val="78322EAE"/>
    <w:rsid w:val="783303ED"/>
    <w:rsid w:val="78340796"/>
    <w:rsid w:val="78353CAA"/>
    <w:rsid w:val="783B09CD"/>
    <w:rsid w:val="783B5319"/>
    <w:rsid w:val="783E2636"/>
    <w:rsid w:val="783F09AA"/>
    <w:rsid w:val="7840713B"/>
    <w:rsid w:val="78412EB3"/>
    <w:rsid w:val="78414141"/>
    <w:rsid w:val="78564BB1"/>
    <w:rsid w:val="7858261A"/>
    <w:rsid w:val="788310B4"/>
    <w:rsid w:val="78856A98"/>
    <w:rsid w:val="788A4B76"/>
    <w:rsid w:val="788A57B5"/>
    <w:rsid w:val="789254BD"/>
    <w:rsid w:val="7894770E"/>
    <w:rsid w:val="789D27E0"/>
    <w:rsid w:val="789D2EC0"/>
    <w:rsid w:val="78A659F2"/>
    <w:rsid w:val="78B33DB1"/>
    <w:rsid w:val="78B90C9C"/>
    <w:rsid w:val="78C7160B"/>
    <w:rsid w:val="78CA6D92"/>
    <w:rsid w:val="78CF287F"/>
    <w:rsid w:val="78D83818"/>
    <w:rsid w:val="78D9001A"/>
    <w:rsid w:val="78E21FA1"/>
    <w:rsid w:val="78E3611B"/>
    <w:rsid w:val="78EF290F"/>
    <w:rsid w:val="78F005C9"/>
    <w:rsid w:val="78F86174"/>
    <w:rsid w:val="79012A35"/>
    <w:rsid w:val="790F6B0E"/>
    <w:rsid w:val="791574E6"/>
    <w:rsid w:val="79220189"/>
    <w:rsid w:val="7938404F"/>
    <w:rsid w:val="793A1DDD"/>
    <w:rsid w:val="793D367B"/>
    <w:rsid w:val="794E5888"/>
    <w:rsid w:val="795069DB"/>
    <w:rsid w:val="79554E68"/>
    <w:rsid w:val="795D5ACB"/>
    <w:rsid w:val="79630B32"/>
    <w:rsid w:val="7967694A"/>
    <w:rsid w:val="79685299"/>
    <w:rsid w:val="79763600"/>
    <w:rsid w:val="797D6BF6"/>
    <w:rsid w:val="798A5695"/>
    <w:rsid w:val="798B0912"/>
    <w:rsid w:val="798B6ADC"/>
    <w:rsid w:val="798E2128"/>
    <w:rsid w:val="79905EA0"/>
    <w:rsid w:val="79917748"/>
    <w:rsid w:val="7993047C"/>
    <w:rsid w:val="79951709"/>
    <w:rsid w:val="799C1155"/>
    <w:rsid w:val="799C30D6"/>
    <w:rsid w:val="79A61220"/>
    <w:rsid w:val="79A731EA"/>
    <w:rsid w:val="79A85561"/>
    <w:rsid w:val="79AE6327"/>
    <w:rsid w:val="79B778D1"/>
    <w:rsid w:val="79B871A5"/>
    <w:rsid w:val="79D67569"/>
    <w:rsid w:val="79DF0BD6"/>
    <w:rsid w:val="79E005EE"/>
    <w:rsid w:val="79E166FC"/>
    <w:rsid w:val="79E75255"/>
    <w:rsid w:val="79EB30D7"/>
    <w:rsid w:val="79ED0058"/>
    <w:rsid w:val="79ED0DA8"/>
    <w:rsid w:val="79F24465"/>
    <w:rsid w:val="79F857F4"/>
    <w:rsid w:val="79FC03DA"/>
    <w:rsid w:val="7A0720BA"/>
    <w:rsid w:val="7A0D5743"/>
    <w:rsid w:val="7A0E26D2"/>
    <w:rsid w:val="7A195E96"/>
    <w:rsid w:val="7A212F9C"/>
    <w:rsid w:val="7A27280E"/>
    <w:rsid w:val="7A3520BA"/>
    <w:rsid w:val="7A3A405E"/>
    <w:rsid w:val="7A3C7DD6"/>
    <w:rsid w:val="7A456C8B"/>
    <w:rsid w:val="7A4A7B5C"/>
    <w:rsid w:val="7A4F7B0A"/>
    <w:rsid w:val="7A56118E"/>
    <w:rsid w:val="7A646158"/>
    <w:rsid w:val="7A6A66F1"/>
    <w:rsid w:val="7A6D61E2"/>
    <w:rsid w:val="7A736803"/>
    <w:rsid w:val="7A756E44"/>
    <w:rsid w:val="7A762402"/>
    <w:rsid w:val="7A8A6D94"/>
    <w:rsid w:val="7A8D1800"/>
    <w:rsid w:val="7A952C0A"/>
    <w:rsid w:val="7A990D85"/>
    <w:rsid w:val="7A993117"/>
    <w:rsid w:val="7A9F1A83"/>
    <w:rsid w:val="7AA37E55"/>
    <w:rsid w:val="7AA7240E"/>
    <w:rsid w:val="7AA8721A"/>
    <w:rsid w:val="7AAC4F5C"/>
    <w:rsid w:val="7AB039D9"/>
    <w:rsid w:val="7AB756AF"/>
    <w:rsid w:val="7ABD2CC5"/>
    <w:rsid w:val="7AC2652D"/>
    <w:rsid w:val="7ACD0A2E"/>
    <w:rsid w:val="7ACD7751"/>
    <w:rsid w:val="7ACF31E3"/>
    <w:rsid w:val="7AD63213"/>
    <w:rsid w:val="7AD87AFF"/>
    <w:rsid w:val="7ADC77A9"/>
    <w:rsid w:val="7AE7379A"/>
    <w:rsid w:val="7AF10BC1"/>
    <w:rsid w:val="7AFE32DE"/>
    <w:rsid w:val="7B034450"/>
    <w:rsid w:val="7B087AC6"/>
    <w:rsid w:val="7B09415C"/>
    <w:rsid w:val="7B0E131D"/>
    <w:rsid w:val="7B0F1047"/>
    <w:rsid w:val="7B1466D9"/>
    <w:rsid w:val="7B193C74"/>
    <w:rsid w:val="7B1D19B6"/>
    <w:rsid w:val="7B2745E3"/>
    <w:rsid w:val="7B2E4D1E"/>
    <w:rsid w:val="7B332E89"/>
    <w:rsid w:val="7B4667CD"/>
    <w:rsid w:val="7B4741A5"/>
    <w:rsid w:val="7B4C5DF7"/>
    <w:rsid w:val="7B562B82"/>
    <w:rsid w:val="7B5D6256"/>
    <w:rsid w:val="7B6D346B"/>
    <w:rsid w:val="7B6E0463"/>
    <w:rsid w:val="7B711D02"/>
    <w:rsid w:val="7B852230"/>
    <w:rsid w:val="7B8B6739"/>
    <w:rsid w:val="7B8D4F30"/>
    <w:rsid w:val="7B8E4662"/>
    <w:rsid w:val="7B922FB4"/>
    <w:rsid w:val="7B9F0CF1"/>
    <w:rsid w:val="7BA65283"/>
    <w:rsid w:val="7BAC5B48"/>
    <w:rsid w:val="7BB555DD"/>
    <w:rsid w:val="7BB87518"/>
    <w:rsid w:val="7BB91528"/>
    <w:rsid w:val="7BD0380F"/>
    <w:rsid w:val="7BD05638"/>
    <w:rsid w:val="7BD227A0"/>
    <w:rsid w:val="7BE75B20"/>
    <w:rsid w:val="7BF608B2"/>
    <w:rsid w:val="7BF859D9"/>
    <w:rsid w:val="7BFA6A35"/>
    <w:rsid w:val="7BFD3E6C"/>
    <w:rsid w:val="7C077F70"/>
    <w:rsid w:val="7C0A2A41"/>
    <w:rsid w:val="7C0B3F04"/>
    <w:rsid w:val="7C120DEF"/>
    <w:rsid w:val="7C1903CF"/>
    <w:rsid w:val="7C31593C"/>
    <w:rsid w:val="7C321491"/>
    <w:rsid w:val="7C360255"/>
    <w:rsid w:val="7C3A2475"/>
    <w:rsid w:val="7C3C2310"/>
    <w:rsid w:val="7C3F3BAE"/>
    <w:rsid w:val="7C52568F"/>
    <w:rsid w:val="7C5331B5"/>
    <w:rsid w:val="7C5A2796"/>
    <w:rsid w:val="7C6B07F5"/>
    <w:rsid w:val="7C707EDD"/>
    <w:rsid w:val="7C7278F9"/>
    <w:rsid w:val="7C743857"/>
    <w:rsid w:val="7C84479C"/>
    <w:rsid w:val="7C8B05BC"/>
    <w:rsid w:val="7C8B6DF3"/>
    <w:rsid w:val="7C9537CE"/>
    <w:rsid w:val="7C9E2682"/>
    <w:rsid w:val="7C9E7B4B"/>
    <w:rsid w:val="7CA35EEB"/>
    <w:rsid w:val="7CA83501"/>
    <w:rsid w:val="7CA85562"/>
    <w:rsid w:val="7CAA3DC1"/>
    <w:rsid w:val="7CAD2EC8"/>
    <w:rsid w:val="7CB11429"/>
    <w:rsid w:val="7CB400F8"/>
    <w:rsid w:val="7CC04CEF"/>
    <w:rsid w:val="7CC145C3"/>
    <w:rsid w:val="7CC876FF"/>
    <w:rsid w:val="7CCF4F32"/>
    <w:rsid w:val="7CD04806"/>
    <w:rsid w:val="7CD410F5"/>
    <w:rsid w:val="7CD51E1C"/>
    <w:rsid w:val="7CE3715C"/>
    <w:rsid w:val="7CE61D90"/>
    <w:rsid w:val="7CE662AE"/>
    <w:rsid w:val="7CEA1D6C"/>
    <w:rsid w:val="7CEB7CCF"/>
    <w:rsid w:val="7CFD67EF"/>
    <w:rsid w:val="7D11554A"/>
    <w:rsid w:val="7D1666BD"/>
    <w:rsid w:val="7D1B7141"/>
    <w:rsid w:val="7D250FF6"/>
    <w:rsid w:val="7D276B1C"/>
    <w:rsid w:val="7D2863F0"/>
    <w:rsid w:val="7D2A660C"/>
    <w:rsid w:val="7D342FE7"/>
    <w:rsid w:val="7D382AD7"/>
    <w:rsid w:val="7D386350"/>
    <w:rsid w:val="7D454D96"/>
    <w:rsid w:val="7D596CDC"/>
    <w:rsid w:val="7D5B4A17"/>
    <w:rsid w:val="7D60738D"/>
    <w:rsid w:val="7D627B54"/>
    <w:rsid w:val="7D6412F0"/>
    <w:rsid w:val="7D6F6E5F"/>
    <w:rsid w:val="7D747887"/>
    <w:rsid w:val="7D781125"/>
    <w:rsid w:val="7D7F5021"/>
    <w:rsid w:val="7D853013"/>
    <w:rsid w:val="7D897FB0"/>
    <w:rsid w:val="7D944F65"/>
    <w:rsid w:val="7D957F29"/>
    <w:rsid w:val="7DAF0AC7"/>
    <w:rsid w:val="7DB87212"/>
    <w:rsid w:val="7DC94127"/>
    <w:rsid w:val="7DCD5288"/>
    <w:rsid w:val="7DD10836"/>
    <w:rsid w:val="7DD56578"/>
    <w:rsid w:val="7DD621A2"/>
    <w:rsid w:val="7DDA1DE0"/>
    <w:rsid w:val="7DDA593C"/>
    <w:rsid w:val="7DDB1F42"/>
    <w:rsid w:val="7DE12A2A"/>
    <w:rsid w:val="7DE62533"/>
    <w:rsid w:val="7DE738D6"/>
    <w:rsid w:val="7DF06F0E"/>
    <w:rsid w:val="7DFE6113"/>
    <w:rsid w:val="7E026C41"/>
    <w:rsid w:val="7E064983"/>
    <w:rsid w:val="7E07746E"/>
    <w:rsid w:val="7E176B90"/>
    <w:rsid w:val="7E33504C"/>
    <w:rsid w:val="7E346A8B"/>
    <w:rsid w:val="7E3B658C"/>
    <w:rsid w:val="7E41481C"/>
    <w:rsid w:val="7E4159BB"/>
    <w:rsid w:val="7E44416D"/>
    <w:rsid w:val="7E490D14"/>
    <w:rsid w:val="7E6B4367"/>
    <w:rsid w:val="7E7E6C0F"/>
    <w:rsid w:val="7E800D89"/>
    <w:rsid w:val="7E896766"/>
    <w:rsid w:val="7E8A7362"/>
    <w:rsid w:val="7E9957F7"/>
    <w:rsid w:val="7EA6685A"/>
    <w:rsid w:val="7EBB7102"/>
    <w:rsid w:val="7EC14D4E"/>
    <w:rsid w:val="7ECD36F3"/>
    <w:rsid w:val="7ECE4D21"/>
    <w:rsid w:val="7ECF2FC7"/>
    <w:rsid w:val="7ED6414B"/>
    <w:rsid w:val="7EE60311"/>
    <w:rsid w:val="7EED78F1"/>
    <w:rsid w:val="7F030EC3"/>
    <w:rsid w:val="7F0709B3"/>
    <w:rsid w:val="7F0B0ED0"/>
    <w:rsid w:val="7F1B1186"/>
    <w:rsid w:val="7F25708B"/>
    <w:rsid w:val="7F280929"/>
    <w:rsid w:val="7F2977C8"/>
    <w:rsid w:val="7F2F12C6"/>
    <w:rsid w:val="7F372393"/>
    <w:rsid w:val="7F3804EB"/>
    <w:rsid w:val="7F4219EB"/>
    <w:rsid w:val="7F484B27"/>
    <w:rsid w:val="7F4F235A"/>
    <w:rsid w:val="7F587460"/>
    <w:rsid w:val="7F5B5141"/>
    <w:rsid w:val="7F5E259D"/>
    <w:rsid w:val="7F6D458E"/>
    <w:rsid w:val="7F6F47AA"/>
    <w:rsid w:val="7F7335B4"/>
    <w:rsid w:val="7F7F2C3F"/>
    <w:rsid w:val="7F8518D8"/>
    <w:rsid w:val="7F8C0EB8"/>
    <w:rsid w:val="7F983FF9"/>
    <w:rsid w:val="7F9B559F"/>
    <w:rsid w:val="7F9D5909"/>
    <w:rsid w:val="7FA41A4F"/>
    <w:rsid w:val="7FA728CD"/>
    <w:rsid w:val="7FAB3A34"/>
    <w:rsid w:val="7FB65419"/>
    <w:rsid w:val="7FBB179D"/>
    <w:rsid w:val="7FC066BC"/>
    <w:rsid w:val="7FD1650E"/>
    <w:rsid w:val="7FD35DCB"/>
    <w:rsid w:val="7FE26D2A"/>
    <w:rsid w:val="7FF058EB"/>
    <w:rsid w:val="7FF151BF"/>
    <w:rsid w:val="7FF60A27"/>
    <w:rsid w:val="7FFA0518"/>
    <w:rsid w:val="7FFB7DEC"/>
    <w:rsid w:val="7FFC39B1"/>
    <w:rsid w:val="7FFD2751"/>
    <w:rsid w:val="7FFF5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qFormat/>
    <w:uiPriority w:val="1"/>
    <w:pPr>
      <w:ind w:left="635" w:right="654"/>
      <w:jc w:val="center"/>
      <w:outlineLvl w:val="1"/>
    </w:pPr>
    <w:rPr>
      <w:rFonts w:ascii="微软雅黑" w:hAnsi="微软雅黑" w:eastAsia="微软雅黑" w:cs="微软雅黑"/>
      <w:sz w:val="36"/>
      <w:szCs w:val="36"/>
      <w:lang w:val="zh-CN" w:bidi="zh-CN"/>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next w:val="3"/>
    <w:qFormat/>
    <w:uiPriority w:val="0"/>
    <w:pPr>
      <w:spacing w:line="500" w:lineRule="exact"/>
      <w:ind w:firstLine="560" w:firstLineChars="200"/>
    </w:pPr>
    <w:rPr>
      <w:rFonts w:ascii="宋体" w:hAnsi="宋体" w:cs="宋体"/>
      <w:color w:val="FF0000"/>
      <w:sz w:val="28"/>
      <w:szCs w:val="20"/>
    </w:rPr>
  </w:style>
  <w:style w:type="paragraph" w:customStyle="1" w:styleId="3">
    <w:name w:val="样式 博士论文标题2 + 段前: 0.2 行 段后: 0.2 行"/>
    <w:basedOn w:val="1"/>
    <w:qFormat/>
    <w:uiPriority w:val="0"/>
    <w:pPr>
      <w:widowControl/>
      <w:spacing w:beforeLines="20" w:afterLines="20"/>
      <w:jc w:val="left"/>
    </w:pPr>
    <w:rPr>
      <w:rFonts w:ascii="宋体" w:hAnsi="宋体" w:eastAsia="黑体" w:cs="宋体"/>
      <w:kern w:val="0"/>
      <w:sz w:val="28"/>
      <w:szCs w:val="28"/>
    </w:rPr>
  </w:style>
  <w:style w:type="paragraph" w:styleId="7">
    <w:name w:val="Normal Indent"/>
    <w:basedOn w:val="1"/>
    <w:qFormat/>
    <w:uiPriority w:val="0"/>
    <w:pPr>
      <w:ind w:firstLine="420" w:firstLineChars="200"/>
    </w:pPr>
  </w:style>
  <w:style w:type="paragraph" w:styleId="8">
    <w:name w:val="Document Map"/>
    <w:basedOn w:val="1"/>
    <w:link w:val="69"/>
    <w:qFormat/>
    <w:uiPriority w:val="0"/>
    <w:rPr>
      <w:rFonts w:ascii="宋体" w:eastAsia="宋体"/>
      <w:sz w:val="18"/>
      <w:szCs w:val="18"/>
    </w:rPr>
  </w:style>
  <w:style w:type="paragraph" w:styleId="9">
    <w:name w:val="annotation text"/>
    <w:basedOn w:val="1"/>
    <w:link w:val="70"/>
    <w:qFormat/>
    <w:uiPriority w:val="0"/>
    <w:pPr>
      <w:jc w:val="left"/>
    </w:pPr>
  </w:style>
  <w:style w:type="paragraph" w:styleId="10">
    <w:name w:val="Body Text"/>
    <w:basedOn w:val="1"/>
    <w:next w:val="11"/>
    <w:qFormat/>
    <w:uiPriority w:val="0"/>
    <w:pPr>
      <w:spacing w:after="120"/>
    </w:pPr>
  </w:style>
  <w:style w:type="paragraph" w:styleId="11">
    <w:name w:val="toc 1"/>
    <w:basedOn w:val="1"/>
    <w:next w:val="1"/>
    <w:qFormat/>
    <w:uiPriority w:val="0"/>
  </w:style>
  <w:style w:type="paragraph" w:styleId="12">
    <w:name w:val="Body Text Indent"/>
    <w:basedOn w:val="1"/>
    <w:next w:val="1"/>
    <w:qFormat/>
    <w:uiPriority w:val="0"/>
    <w:pPr>
      <w:ind w:left="420" w:leftChars="200"/>
    </w:pPr>
  </w:style>
  <w:style w:type="paragraph" w:styleId="13">
    <w:name w:val="Plain Text"/>
    <w:basedOn w:val="1"/>
    <w:next w:val="1"/>
    <w:qFormat/>
    <w:uiPriority w:val="0"/>
    <w:rPr>
      <w:rFonts w:ascii="宋体" w:hAnsi="Courier New"/>
      <w:kern w:val="11"/>
      <w:szCs w:val="20"/>
    </w:rPr>
  </w:style>
  <w:style w:type="paragraph" w:styleId="14">
    <w:name w:val="List Bullet 5"/>
    <w:basedOn w:val="1"/>
    <w:qFormat/>
    <w:uiPriority w:val="0"/>
    <w:pPr>
      <w:numPr>
        <w:ilvl w:val="0"/>
        <w:numId w:val="1"/>
      </w:numPr>
    </w:pPr>
  </w:style>
  <w:style w:type="paragraph" w:styleId="15">
    <w:name w:val="Body Text Indent 2"/>
    <w:basedOn w:val="1"/>
    <w:next w:val="1"/>
    <w:qFormat/>
    <w:uiPriority w:val="0"/>
    <w:pPr>
      <w:spacing w:line="480" w:lineRule="auto"/>
      <w:ind w:left="420" w:leftChars="200"/>
    </w:pPr>
  </w:style>
  <w:style w:type="paragraph" w:styleId="16">
    <w:name w:val="Balloon Text"/>
    <w:basedOn w:val="1"/>
    <w:link w:val="7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Body Text Indent 3"/>
    <w:basedOn w:val="1"/>
    <w:qFormat/>
    <w:uiPriority w:val="0"/>
    <w:pPr>
      <w:spacing w:line="360" w:lineRule="auto"/>
      <w:ind w:firstLine="600"/>
    </w:pPr>
    <w:rPr>
      <w:rFonts w:ascii="宋体"/>
      <w:color w:val="FF0000"/>
      <w:sz w:val="24"/>
    </w:rPr>
  </w:style>
  <w:style w:type="paragraph" w:styleId="20">
    <w:name w:val="toc 2"/>
    <w:basedOn w:val="1"/>
    <w:next w:val="1"/>
    <w:semiHidden/>
    <w:qFormat/>
    <w:uiPriority w:val="0"/>
    <w:pPr>
      <w:ind w:left="420" w:leftChars="200"/>
    </w:pPr>
  </w:style>
  <w:style w:type="paragraph" w:styleId="21">
    <w:name w:val="Normal (Web)"/>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styleId="22">
    <w:name w:val="annotation subject"/>
    <w:basedOn w:val="9"/>
    <w:next w:val="9"/>
    <w:link w:val="71"/>
    <w:qFormat/>
    <w:uiPriority w:val="0"/>
    <w:rPr>
      <w:b/>
      <w:bCs/>
    </w:rPr>
  </w:style>
  <w:style w:type="paragraph" w:styleId="23">
    <w:name w:val="Body Text First Indent"/>
    <w:basedOn w:val="10"/>
    <w:unhideWhenUsed/>
    <w:qFormat/>
    <w:uiPriority w:val="0"/>
    <w:pPr>
      <w:ind w:firstLine="420" w:firstLineChars="100"/>
    </w:pPr>
  </w:style>
  <w:style w:type="paragraph" w:styleId="24">
    <w:name w:val="Body Text First Indent 2"/>
    <w:basedOn w:val="12"/>
    <w:next w:val="1"/>
    <w:qFormat/>
    <w:uiPriority w:val="99"/>
    <w:pPr>
      <w:spacing w:after="120"/>
      <w:ind w:firstLine="420" w:firstLineChars="200"/>
    </w:pPr>
    <w:rPr>
      <w:rFonts w:ascii="@宋体e眠副浡渀." w:hAnsi="@宋体e眠副浡渀." w:eastAsia="Courier New" w:cs="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unhideWhenUsed/>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Default"/>
    <w:basedOn w:val="32"/>
    <w:qFormat/>
    <w:uiPriority w:val="0"/>
    <w:pPr>
      <w:widowControl w:val="0"/>
      <w:autoSpaceDE w:val="0"/>
      <w:autoSpaceDN w:val="0"/>
      <w:adjustRightInd w:val="0"/>
    </w:pPr>
    <w:rPr>
      <w:rFonts w:ascii="宋体" w:hAnsi="Calibri" w:eastAsia="Calibri" w:cs="宋体"/>
      <w:color w:val="000000"/>
      <w:sz w:val="24"/>
    </w:rPr>
  </w:style>
  <w:style w:type="paragraph" w:customStyle="1" w:styleId="3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3">
    <w:name w:val="bgb表头"/>
    <w:basedOn w:val="1"/>
    <w:next w:val="1"/>
    <w:qFormat/>
    <w:uiPriority w:val="0"/>
    <w:pPr>
      <w:numPr>
        <w:ilvl w:val="0"/>
        <w:numId w:val="2"/>
      </w:numPr>
      <w:adjustRightInd w:val="0"/>
      <w:snapToGrid w:val="0"/>
      <w:contextualSpacing/>
      <w:jc w:val="center"/>
    </w:pPr>
    <w:rPr>
      <w:rFonts w:ascii="Calibri" w:hAnsi="Calibri" w:eastAsia="宋体"/>
      <w:b/>
      <w:color w:val="000000"/>
      <w:kern w:val="0"/>
      <w:szCs w:val="21"/>
    </w:rPr>
  </w:style>
  <w:style w:type="paragraph" w:customStyle="1" w:styleId="34">
    <w:name w:val="文章正文"/>
    <w:qFormat/>
    <w:uiPriority w:val="0"/>
    <w:pPr>
      <w:spacing w:line="360" w:lineRule="auto"/>
      <w:ind w:firstLine="200" w:firstLineChars="200"/>
    </w:pPr>
    <w:rPr>
      <w:rFonts w:ascii="宋体" w:hAnsi="宋体" w:eastAsia="Calibri" w:cs="宋体"/>
      <w:sz w:val="24"/>
      <w:szCs w:val="24"/>
      <w:lang w:val="en-US" w:eastAsia="zh-CN" w:bidi="ar-SA"/>
    </w:rPr>
  </w:style>
  <w:style w:type="paragraph" w:customStyle="1" w:styleId="35">
    <w:name w:val="正文内容"/>
    <w:basedOn w:val="1"/>
    <w:qFormat/>
    <w:uiPriority w:val="0"/>
    <w:pPr>
      <w:ind w:firstLine="200"/>
      <w:jc w:val="left"/>
    </w:pPr>
    <w:rPr>
      <w:rFonts w:ascii="Tahoma" w:hAnsi="Tahoma" w:eastAsia="宋体"/>
    </w:rPr>
  </w:style>
  <w:style w:type="paragraph" w:customStyle="1" w:styleId="36">
    <w:name w:val="Table Paragraph"/>
    <w:basedOn w:val="1"/>
    <w:qFormat/>
    <w:uiPriority w:val="99"/>
    <w:pPr>
      <w:jc w:val="left"/>
    </w:pPr>
    <w:rPr>
      <w:rFonts w:ascii="Calibri" w:hAnsi="Calibri" w:eastAsia="宋体" w:cs="Times New Roman"/>
      <w:kern w:val="0"/>
      <w:sz w:val="22"/>
      <w:lang w:eastAsia="en-US"/>
    </w:rPr>
  </w:style>
  <w:style w:type="paragraph" w:customStyle="1" w:styleId="37">
    <w:name w:val="样式1"/>
    <w:basedOn w:val="1"/>
    <w:qFormat/>
    <w:uiPriority w:val="0"/>
    <w:pPr>
      <w:spacing w:line="500" w:lineRule="exact"/>
      <w:ind w:firstLine="480" w:firstLineChars="200"/>
    </w:pPr>
    <w:rPr>
      <w:color w:val="FF0000"/>
      <w:sz w:val="24"/>
    </w:rPr>
  </w:style>
  <w:style w:type="paragraph" w:customStyle="1" w:styleId="38">
    <w:name w:val="表内容"/>
    <w:basedOn w:val="1"/>
    <w:next w:val="1"/>
    <w:link w:val="75"/>
    <w:qFormat/>
    <w:uiPriority w:val="0"/>
    <w:pPr>
      <w:spacing w:line="320" w:lineRule="exact"/>
      <w:jc w:val="center"/>
    </w:pPr>
    <w:rPr>
      <w:szCs w:val="20"/>
    </w:rPr>
  </w:style>
  <w:style w:type="paragraph" w:customStyle="1" w:styleId="39">
    <w:name w:val="表"/>
    <w:basedOn w:val="40"/>
    <w:qFormat/>
    <w:uiPriority w:val="0"/>
    <w:pPr>
      <w:widowControl/>
      <w:tabs>
        <w:tab w:val="left" w:pos="280"/>
      </w:tabs>
      <w:adjustRightInd/>
      <w:snapToGrid/>
      <w:spacing w:beforeLines="0" w:afterLines="0" w:line="0" w:lineRule="atLeast"/>
    </w:pPr>
    <w:rPr>
      <w:b w:val="0"/>
      <w:kern w:val="0"/>
      <w:sz w:val="21"/>
    </w:rPr>
  </w:style>
  <w:style w:type="paragraph" w:customStyle="1" w:styleId="40">
    <w:name w:val="表标"/>
    <w:next w:val="1"/>
    <w:qFormat/>
    <w:uiPriority w:val="0"/>
    <w:pPr>
      <w:widowControl w:val="0"/>
      <w:tabs>
        <w:tab w:val="left" w:pos="280"/>
      </w:tabs>
      <w:adjustRightInd w:val="0"/>
      <w:snapToGrid w:val="0"/>
      <w:spacing w:beforeLines="50" w:afterLines="50"/>
      <w:jc w:val="center"/>
    </w:pPr>
    <w:rPr>
      <w:rFonts w:ascii="Calibri" w:hAnsi="Calibri" w:eastAsia="Calibri" w:cs="Times New Roman"/>
      <w:b/>
      <w:kern w:val="2"/>
      <w:sz w:val="24"/>
      <w:lang w:val="en-US" w:eastAsia="zh-CN" w:bidi="ar-SA"/>
    </w:rPr>
  </w:style>
  <w:style w:type="paragraph" w:customStyle="1" w:styleId="41">
    <w:name w:val="表正文"/>
    <w:basedOn w:val="1"/>
    <w:qFormat/>
    <w:uiPriority w:val="0"/>
    <w:pPr>
      <w:jc w:val="center"/>
    </w:pPr>
    <w:rPr>
      <w:szCs w:val="21"/>
    </w:rPr>
  </w:style>
  <w:style w:type="paragraph" w:customStyle="1" w:styleId="42">
    <w:name w:val="！正文"/>
    <w:basedOn w:val="1"/>
    <w:qFormat/>
    <w:uiPriority w:val="0"/>
    <w:pPr>
      <w:spacing w:line="460" w:lineRule="exact"/>
      <w:ind w:firstLine="200" w:firstLineChars="200"/>
    </w:pPr>
    <w:rPr>
      <w:sz w:val="24"/>
      <w:szCs w:val="20"/>
    </w:rPr>
  </w:style>
  <w:style w:type="paragraph" w:customStyle="1" w:styleId="43">
    <w:name w:val="表格（窄）"/>
    <w:basedOn w:val="1"/>
    <w:qFormat/>
    <w:uiPriority w:val="0"/>
    <w:pPr>
      <w:jc w:val="center"/>
    </w:pPr>
    <w:rPr>
      <w:rFonts w:ascii="Times New Roman" w:hAnsi="Times New Roman" w:cs="Times New Roman"/>
      <w:szCs w:val="20"/>
    </w:rPr>
  </w:style>
  <w:style w:type="paragraph" w:customStyle="1" w:styleId="44">
    <w:name w:val="文本正文"/>
    <w:basedOn w:val="1"/>
    <w:qFormat/>
    <w:uiPriority w:val="0"/>
    <w:pPr>
      <w:autoSpaceDE w:val="0"/>
      <w:autoSpaceDN w:val="0"/>
      <w:adjustRightInd w:val="0"/>
      <w:spacing w:line="360" w:lineRule="auto"/>
      <w:ind w:firstLine="200" w:firstLineChars="200"/>
      <w:textAlignment w:val="baseline"/>
    </w:pPr>
    <w:rPr>
      <w:rFonts w:ascii="宋体" w:hAnsi="宋体"/>
      <w:snapToGrid w:val="0"/>
      <w:color w:val="000000"/>
      <w:spacing w:val="4"/>
      <w:kern w:val="18"/>
      <w:sz w:val="24"/>
    </w:rPr>
  </w:style>
  <w:style w:type="paragraph" w:customStyle="1" w:styleId="45">
    <w:name w:val="表格文字"/>
    <w:basedOn w:val="46"/>
    <w:next w:val="1"/>
    <w:qFormat/>
    <w:uiPriority w:val="0"/>
    <w:pPr>
      <w:adjustRightInd w:val="0"/>
      <w:snapToGrid w:val="0"/>
    </w:pPr>
    <w:rPr>
      <w:color w:val="000000"/>
      <w:kern w:val="0"/>
      <w:szCs w:val="20"/>
    </w:rPr>
  </w:style>
  <w:style w:type="paragraph" w:customStyle="1" w:styleId="46">
    <w:name w:val="表格正文"/>
    <w:basedOn w:val="1"/>
    <w:next w:val="7"/>
    <w:qFormat/>
    <w:uiPriority w:val="0"/>
    <w:pPr>
      <w:spacing w:line="360" w:lineRule="exact"/>
      <w:jc w:val="center"/>
    </w:pPr>
  </w:style>
  <w:style w:type="paragraph" w:customStyle="1" w:styleId="47">
    <w:name w:val="韩笑表内容"/>
    <w:basedOn w:val="1"/>
    <w:qFormat/>
    <w:uiPriority w:val="0"/>
    <w:pPr>
      <w:jc w:val="center"/>
    </w:pPr>
  </w:style>
  <w:style w:type="paragraph" w:customStyle="1" w:styleId="48">
    <w:name w:val="正文(首行缩进)"/>
    <w:basedOn w:val="1"/>
    <w:qFormat/>
    <w:uiPriority w:val="0"/>
    <w:pPr>
      <w:spacing w:line="300" w:lineRule="auto"/>
      <w:ind w:firstLine="200" w:firstLineChars="200"/>
    </w:pPr>
    <w:rPr>
      <w:snapToGrid w:val="0"/>
      <w:color w:val="000000"/>
      <w:kern w:val="0"/>
      <w:sz w:val="24"/>
    </w:rPr>
  </w:style>
  <w:style w:type="character" w:customStyle="1" w:styleId="49">
    <w:name w:val="tpc_content1"/>
    <w:qFormat/>
    <w:uiPriority w:val="0"/>
    <w:rPr>
      <w:sz w:val="20"/>
      <w:szCs w:val="20"/>
    </w:rPr>
  </w:style>
  <w:style w:type="character" w:customStyle="1" w:styleId="50">
    <w:name w:val="报告表正文样式1 Char"/>
    <w:link w:val="51"/>
    <w:qFormat/>
    <w:uiPriority w:val="0"/>
    <w:rPr>
      <w:kern w:val="0"/>
      <w:sz w:val="24"/>
      <w:szCs w:val="20"/>
    </w:rPr>
  </w:style>
  <w:style w:type="paragraph" w:customStyle="1" w:styleId="51">
    <w:name w:val="报告表正文样式1"/>
    <w:basedOn w:val="1"/>
    <w:link w:val="50"/>
    <w:qFormat/>
    <w:uiPriority w:val="0"/>
    <w:pPr>
      <w:spacing w:line="360" w:lineRule="auto"/>
      <w:ind w:firstLine="480" w:firstLineChars="200"/>
    </w:pPr>
    <w:rPr>
      <w:kern w:val="0"/>
      <w:sz w:val="24"/>
      <w:szCs w:val="20"/>
    </w:rPr>
  </w:style>
  <w:style w:type="paragraph" w:customStyle="1" w:styleId="52">
    <w:name w:val="表格内容2"/>
    <w:basedOn w:val="53"/>
    <w:qFormat/>
    <w:uiPriority w:val="0"/>
    <w:pPr>
      <w:tabs>
        <w:tab w:val="left" w:pos="252"/>
        <w:tab w:val="left" w:pos="1257"/>
        <w:tab w:val="left" w:pos="3840"/>
      </w:tabs>
    </w:pPr>
    <w:rPr>
      <w:rFonts w:hAnsi="宋体"/>
    </w:rPr>
  </w:style>
  <w:style w:type="paragraph" w:customStyle="1" w:styleId="53">
    <w:name w:val="表格内容"/>
    <w:basedOn w:val="10"/>
    <w:qFormat/>
    <w:uiPriority w:val="0"/>
    <w:pPr>
      <w:tabs>
        <w:tab w:val="left" w:pos="1257"/>
      </w:tabs>
    </w:pPr>
    <w:rPr>
      <w:rFonts w:ascii="Times New Roman" w:hAnsi="Times New Roman"/>
      <w:kern w:val="0"/>
    </w:rPr>
  </w:style>
  <w:style w:type="paragraph" w:customStyle="1" w:styleId="54">
    <w:name w:val="表格2（紧凑）"/>
    <w:basedOn w:val="55"/>
    <w:qFormat/>
    <w:uiPriority w:val="0"/>
    <w:pPr>
      <w:tabs>
        <w:tab w:val="left" w:pos="1257"/>
      </w:tabs>
      <w:spacing w:line="0" w:lineRule="atLeast"/>
    </w:pPr>
    <w:rPr>
      <w:rFonts w:eastAsia="仿宋"/>
    </w:rPr>
  </w:style>
  <w:style w:type="paragraph" w:customStyle="1" w:styleId="55">
    <w:name w:val="表格"/>
    <w:basedOn w:val="56"/>
    <w:next w:val="1"/>
    <w:qFormat/>
    <w:uiPriority w:val="0"/>
    <w:pPr>
      <w:adjustRightInd w:val="0"/>
      <w:spacing w:before="40" w:after="40"/>
    </w:pPr>
    <w:rPr>
      <w:rFonts w:ascii="昆仑仿宋" w:hAnsi="Calibri" w:eastAsia="昆仑仿宋"/>
      <w:kern w:val="0"/>
      <w:szCs w:val="20"/>
    </w:rPr>
  </w:style>
  <w:style w:type="paragraph" w:customStyle="1" w:styleId="56">
    <w:name w:val="表头"/>
    <w:basedOn w:val="57"/>
    <w:next w:val="1"/>
    <w:qFormat/>
    <w:uiPriority w:val="0"/>
    <w:pPr>
      <w:jc w:val="center"/>
      <w:textAlignment w:val="baseline"/>
    </w:pPr>
    <w:rPr>
      <w:rFonts w:ascii="Arial" w:hAnsi="Arial" w:cs="Arial"/>
      <w:b/>
      <w:szCs w:val="21"/>
    </w:rPr>
  </w:style>
  <w:style w:type="paragraph" w:customStyle="1" w:styleId="57">
    <w:name w:val="内容"/>
    <w:qFormat/>
    <w:uiPriority w:val="0"/>
    <w:pPr>
      <w:widowControl w:val="0"/>
      <w:spacing w:line="360" w:lineRule="auto"/>
      <w:ind w:firstLine="454"/>
      <w:jc w:val="both"/>
    </w:pPr>
    <w:rPr>
      <w:rFonts w:ascii="Times New Roman" w:hAnsi="Times New Roman" w:eastAsia="宋体" w:cs="Times New Roman"/>
      <w:kern w:val="2"/>
      <w:sz w:val="24"/>
      <w:szCs w:val="24"/>
      <w:lang w:val="en-US" w:eastAsia="zh-CN" w:bidi="ar-SA"/>
    </w:rPr>
  </w:style>
  <w:style w:type="paragraph" w:customStyle="1" w:styleId="58">
    <w:name w:val="表格标题"/>
    <w:basedOn w:val="55"/>
    <w:qFormat/>
    <w:uiPriority w:val="0"/>
    <w:pPr>
      <w:tabs>
        <w:tab w:val="left" w:pos="1257"/>
      </w:tabs>
    </w:pPr>
  </w:style>
  <w:style w:type="character" w:customStyle="1" w:styleId="59">
    <w:name w:val="海港表头 Char Char"/>
    <w:link w:val="60"/>
    <w:qFormat/>
    <w:uiPriority w:val="0"/>
    <w:rPr>
      <w:bCs/>
      <w:color w:val="000000"/>
      <w:kern w:val="0"/>
      <w:sz w:val="20"/>
    </w:rPr>
  </w:style>
  <w:style w:type="paragraph" w:customStyle="1" w:styleId="60">
    <w:name w:val="海港表头"/>
    <w:basedOn w:val="1"/>
    <w:link w:val="59"/>
    <w:qFormat/>
    <w:uiPriority w:val="0"/>
    <w:pPr>
      <w:widowControl/>
      <w:overflowPunct w:val="0"/>
      <w:topLinePunct/>
      <w:autoSpaceDE w:val="0"/>
      <w:autoSpaceDN w:val="0"/>
      <w:adjustRightInd w:val="0"/>
      <w:snapToGrid w:val="0"/>
      <w:spacing w:line="300" w:lineRule="exact"/>
      <w:ind w:left="-56" w:leftChars="-30" w:right="-63" w:rightChars="-30"/>
      <w:jc w:val="center"/>
      <w:textAlignment w:val="baseline"/>
    </w:pPr>
    <w:rPr>
      <w:bCs/>
      <w:color w:val="000000"/>
      <w:kern w:val="0"/>
      <w:sz w:val="20"/>
    </w:rPr>
  </w:style>
  <w:style w:type="paragraph" w:customStyle="1" w:styleId="61">
    <w:name w:val="【正文】"/>
    <w:basedOn w:val="1"/>
    <w:qFormat/>
    <w:uiPriority w:val="0"/>
    <w:pPr>
      <w:spacing w:line="360" w:lineRule="auto"/>
      <w:ind w:firstLine="480" w:firstLineChars="200"/>
    </w:pPr>
    <w:rPr>
      <w:sz w:val="24"/>
    </w:rPr>
  </w:style>
  <w:style w:type="paragraph" w:customStyle="1" w:styleId="62">
    <w:name w:val="格"/>
    <w:basedOn w:val="1"/>
    <w:qFormat/>
    <w:uiPriority w:val="0"/>
    <w:pPr>
      <w:widowControl/>
      <w:jc w:val="center"/>
    </w:pPr>
    <w:rPr>
      <w:bCs/>
      <w:kern w:val="0"/>
      <w:sz w:val="24"/>
    </w:rPr>
  </w:style>
  <w:style w:type="paragraph" w:customStyle="1" w:styleId="63">
    <w:name w:val="表内"/>
    <w:basedOn w:val="1"/>
    <w:qFormat/>
    <w:uiPriority w:val="0"/>
    <w:pPr>
      <w:jc w:val="center"/>
    </w:pPr>
  </w:style>
  <w:style w:type="paragraph" w:customStyle="1" w:styleId="64">
    <w:name w:val="封面标准文稿编辑信息"/>
    <w:qFormat/>
    <w:uiPriority w:val="0"/>
    <w:pPr>
      <w:spacing w:before="180" w:line="180" w:lineRule="atLeast"/>
      <w:jc w:val="center"/>
    </w:pPr>
    <w:rPr>
      <w:rFonts w:hint="eastAsia" w:ascii="宋体" w:hAnsi="Times New Roman" w:eastAsia="宋体" w:cs="Times New Roman"/>
      <w:sz w:val="21"/>
      <w:lang w:val="en-US" w:eastAsia="zh-CN" w:bidi="ar-SA"/>
    </w:rPr>
  </w:style>
  <w:style w:type="paragraph" w:customStyle="1" w:styleId="65">
    <w:name w:val="注："/>
    <w:next w:val="1"/>
    <w:qFormat/>
    <w:uiPriority w:val="0"/>
    <w:pPr>
      <w:widowControl w:val="0"/>
      <w:tabs>
        <w:tab w:val="left" w:pos="720"/>
      </w:tabs>
      <w:autoSpaceDE w:val="0"/>
      <w:autoSpaceDN w:val="0"/>
      <w:ind w:left="720" w:hanging="720"/>
      <w:jc w:val="both"/>
    </w:pPr>
    <w:rPr>
      <w:rFonts w:hint="eastAsia" w:ascii="宋体" w:hAnsi="Times New Roman" w:eastAsia="宋体" w:cs="Times New Roman"/>
      <w:sz w:val="18"/>
      <w:lang w:val="en-US" w:eastAsia="zh-CN" w:bidi="ar-SA"/>
    </w:rPr>
  </w:style>
  <w:style w:type="paragraph" w:customStyle="1" w:styleId="66">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67">
    <w:name w:val="font61"/>
    <w:basedOn w:val="27"/>
    <w:qFormat/>
    <w:uiPriority w:val="0"/>
    <w:rPr>
      <w:rFonts w:hint="default" w:ascii="Times New Roman" w:hAnsi="Times New Roman" w:cs="Times New Roman"/>
      <w:color w:val="000000"/>
      <w:sz w:val="21"/>
      <w:szCs w:val="21"/>
      <w:u w:val="none"/>
    </w:rPr>
  </w:style>
  <w:style w:type="character" w:customStyle="1" w:styleId="68">
    <w:name w:val="font81"/>
    <w:basedOn w:val="27"/>
    <w:qFormat/>
    <w:uiPriority w:val="0"/>
    <w:rPr>
      <w:rFonts w:hint="eastAsia" w:ascii="宋体" w:hAnsi="宋体" w:eastAsia="宋体" w:cs="宋体"/>
      <w:color w:val="000000"/>
      <w:sz w:val="21"/>
      <w:szCs w:val="21"/>
      <w:u w:val="none"/>
    </w:rPr>
  </w:style>
  <w:style w:type="character" w:customStyle="1" w:styleId="69">
    <w:name w:val="文档结构图 Char"/>
    <w:basedOn w:val="27"/>
    <w:link w:val="8"/>
    <w:qFormat/>
    <w:uiPriority w:val="0"/>
    <w:rPr>
      <w:rFonts w:ascii="宋体" w:eastAsia="宋体" w:hAnsiTheme="minorHAnsi" w:cstheme="minorBidi"/>
      <w:kern w:val="2"/>
      <w:sz w:val="18"/>
      <w:szCs w:val="18"/>
    </w:rPr>
  </w:style>
  <w:style w:type="character" w:customStyle="1" w:styleId="70">
    <w:name w:val="批注文字 Char"/>
    <w:basedOn w:val="27"/>
    <w:link w:val="9"/>
    <w:qFormat/>
    <w:uiPriority w:val="0"/>
    <w:rPr>
      <w:rFonts w:asciiTheme="minorHAnsi" w:hAnsiTheme="minorHAnsi" w:cstheme="minorBidi"/>
      <w:kern w:val="2"/>
      <w:sz w:val="21"/>
      <w:szCs w:val="24"/>
    </w:rPr>
  </w:style>
  <w:style w:type="character" w:customStyle="1" w:styleId="71">
    <w:name w:val="批注主题 Char"/>
    <w:basedOn w:val="70"/>
    <w:link w:val="22"/>
    <w:qFormat/>
    <w:uiPriority w:val="0"/>
    <w:rPr>
      <w:rFonts w:asciiTheme="minorHAnsi" w:hAnsiTheme="minorHAnsi" w:cstheme="minorBidi"/>
      <w:b/>
      <w:bCs/>
      <w:kern w:val="2"/>
      <w:sz w:val="21"/>
      <w:szCs w:val="24"/>
    </w:rPr>
  </w:style>
  <w:style w:type="character" w:customStyle="1" w:styleId="72">
    <w:name w:val="批注框文本 Char"/>
    <w:basedOn w:val="27"/>
    <w:link w:val="16"/>
    <w:qFormat/>
    <w:uiPriority w:val="0"/>
    <w:rPr>
      <w:rFonts w:asciiTheme="minorHAnsi" w:hAnsiTheme="minorHAnsi" w:cstheme="minorBidi"/>
      <w:kern w:val="2"/>
      <w:sz w:val="18"/>
      <w:szCs w:val="18"/>
    </w:rPr>
  </w:style>
  <w:style w:type="paragraph" w:customStyle="1" w:styleId="73">
    <w:name w:val="文字缩"/>
    <w:basedOn w:val="1"/>
    <w:qFormat/>
    <w:uiPriority w:val="0"/>
    <w:pPr>
      <w:autoSpaceDE w:val="0"/>
      <w:autoSpaceDN w:val="0"/>
      <w:adjustRightInd w:val="0"/>
      <w:snapToGrid w:val="0"/>
      <w:spacing w:line="480" w:lineRule="atLeast"/>
      <w:ind w:firstLine="200" w:firstLineChars="200"/>
      <w:jc w:val="left"/>
    </w:pPr>
    <w:rPr>
      <w:rFonts w:ascii="宋体" w:hAnsi="Times New Roman" w:eastAsia="宋体" w:cs="Times New Roman"/>
      <w:snapToGrid w:val="0"/>
      <w:spacing w:val="6"/>
      <w:kern w:val="0"/>
      <w:sz w:val="24"/>
      <w:szCs w:val="20"/>
    </w:rPr>
  </w:style>
  <w:style w:type="paragraph" w:customStyle="1" w:styleId="74">
    <w:name w:val="环评标准正文"/>
    <w:basedOn w:val="1"/>
    <w:qFormat/>
    <w:uiPriority w:val="0"/>
    <w:pPr>
      <w:spacing w:line="360" w:lineRule="auto"/>
      <w:ind w:firstLine="425" w:firstLineChars="177"/>
    </w:pPr>
    <w:rPr>
      <w:rFonts w:ascii="Times New Roman" w:hAnsi="Times New Roman" w:eastAsia="宋体" w:cs="Times New Roman"/>
      <w:sz w:val="24"/>
    </w:rPr>
  </w:style>
  <w:style w:type="character" w:customStyle="1" w:styleId="75">
    <w:name w:val="表内容 字符"/>
    <w:basedOn w:val="27"/>
    <w:link w:val="38"/>
    <w:qFormat/>
    <w:uiPriority w:val="0"/>
    <w:rPr>
      <w:rFonts w:asciiTheme="minorHAnsi" w:hAnsiTheme="minorHAnsi" w:cstheme="minorBidi"/>
      <w:kern w:val="2"/>
      <w:sz w:val="21"/>
    </w:rPr>
  </w:style>
  <w:style w:type="paragraph" w:styleId="76">
    <w:name w:val="No Spacing"/>
    <w:qFormat/>
    <w:uiPriority w:val="1"/>
    <w:pPr>
      <w:widowControl w:val="0"/>
      <w:ind w:firstLine="200" w:firstLineChars="200"/>
      <w:jc w:val="both"/>
    </w:pPr>
    <w:rPr>
      <w:rFonts w:ascii="Times New Roman" w:hAnsi="Times New Roman" w:eastAsia="宋体" w:cs="Times New Roman"/>
      <w:kern w:val="2"/>
      <w:sz w:val="24"/>
      <w:lang w:val="en-US" w:eastAsia="zh-CN" w:bidi="ar-SA"/>
    </w:rPr>
  </w:style>
  <w:style w:type="paragraph" w:customStyle="1" w:styleId="77">
    <w:name w:val="0表中文字"/>
    <w:next w:val="1"/>
    <w:qFormat/>
    <w:uiPriority w:val="0"/>
    <w:pPr>
      <w:jc w:val="center"/>
    </w:pPr>
    <w:rPr>
      <w:rFonts w:ascii="Times New Roman" w:hAnsi="Times New Roman" w:eastAsia="宋体" w:cs="Times New Roman"/>
      <w:kern w:val="2"/>
      <w:sz w:val="21"/>
      <w:szCs w:val="24"/>
      <w:lang w:val="en-US" w:eastAsia="zh-CN" w:bidi="ar-SA"/>
    </w:rPr>
  </w:style>
  <w:style w:type="paragraph" w:customStyle="1" w:styleId="78">
    <w:name w:val="M正文"/>
    <w:basedOn w:val="1"/>
    <w:qFormat/>
    <w:uiPriority w:val="0"/>
    <w:pPr>
      <w:spacing w:line="520" w:lineRule="exact"/>
    </w:pPr>
    <w:rPr>
      <w:szCs w:val="21"/>
    </w:rPr>
  </w:style>
  <w:style w:type="paragraph" w:customStyle="1" w:styleId="79">
    <w:name w:val="报告书表格文（林）"/>
    <w:basedOn w:val="1"/>
    <w:qFormat/>
    <w:uiPriority w:val="0"/>
    <w:pPr>
      <w:widowControl/>
      <w:spacing w:line="280" w:lineRule="exact"/>
      <w:jc w:val="center"/>
    </w:pPr>
    <w:rPr>
      <w:kern w:val="0"/>
    </w:rPr>
  </w:style>
  <w:style w:type="paragraph" w:customStyle="1" w:styleId="80">
    <w:name w:val="样式 正文缩进正文缩进2正文缩进 Char Char正文缩进 Char Char Char Char正文缩进 Char ..."/>
    <w:basedOn w:val="7"/>
    <w:qFormat/>
    <w:uiPriority w:val="0"/>
    <w:pPr>
      <w:spacing w:line="360" w:lineRule="auto"/>
      <w:ind w:firstLine="200"/>
    </w:pPr>
    <w:rPr>
      <w:rFonts w:cs="宋体"/>
      <w:sz w:val="24"/>
    </w:rPr>
  </w:style>
  <w:style w:type="paragraph" w:customStyle="1" w:styleId="81">
    <w:name w:val="Re-表中文字"/>
    <w:basedOn w:val="1"/>
    <w:qFormat/>
    <w:uiPriority w:val="5"/>
    <w:pPr>
      <w:jc w:val="center"/>
    </w:pPr>
    <w:rPr>
      <w:rFonts w:ascii="Times New Roman" w:hAnsi="Times New Roman" w:eastAsia="宋体" w:cs="Times New Roman"/>
      <w:kern w:val="0"/>
      <w:szCs w:val="22"/>
      <w:lang w:eastAsia="en-US"/>
    </w:rPr>
  </w:style>
  <w:style w:type="paragraph" w:customStyle="1" w:styleId="82">
    <w:name w:val="正文_20"/>
    <w:qFormat/>
    <w:uiPriority w:val="0"/>
    <w:pPr>
      <w:widowControl w:val="0"/>
      <w:jc w:val="both"/>
    </w:pPr>
    <w:rPr>
      <w:rFonts w:ascii="Calibri" w:hAnsi="Calibri" w:eastAsia="宋体" w:cs="Times New Roman"/>
      <w:kern w:val="2"/>
      <w:sz w:val="21"/>
      <w:lang w:val="en-US" w:eastAsia="zh-CN" w:bidi="ar-SA"/>
    </w:rPr>
  </w:style>
  <w:style w:type="character" w:customStyle="1" w:styleId="8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84">
    <w:name w:val="表字"/>
    <w:qFormat/>
    <w:uiPriority w:val="0"/>
    <w:pPr>
      <w:widowControl w:val="0"/>
      <w:jc w:val="center"/>
    </w:pPr>
    <w:rPr>
      <w:rFonts w:ascii="宋体" w:hAnsi="Times New Roman" w:eastAsia="宋体" w:cs="Times New Roman"/>
      <w:kern w:val="2"/>
      <w:sz w:val="21"/>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B环评正文 Char"/>
    <w:link w:val="87"/>
    <w:qFormat/>
    <w:uiPriority w:val="0"/>
    <w:rPr>
      <w:rFonts w:ascii="Times New Roman" w:hAnsi="Times New Roman" w:eastAsia="宋体" w:cs="Times New Roman"/>
      <w:bCs/>
      <w:color w:val="000000"/>
      <w:kern w:val="0"/>
      <w:sz w:val="24"/>
      <w:szCs w:val="28"/>
      <w:lang w:val="en-US" w:eastAsia="zh-CN" w:bidi="ar-SA"/>
    </w:rPr>
  </w:style>
  <w:style w:type="paragraph" w:customStyle="1" w:styleId="87">
    <w:name w:val="B环评正文"/>
    <w:next w:val="24"/>
    <w:link w:val="86"/>
    <w:qFormat/>
    <w:uiPriority w:val="0"/>
    <w:pPr>
      <w:widowControl w:val="0"/>
      <w:adjustRightInd w:val="0"/>
      <w:spacing w:line="360" w:lineRule="auto"/>
      <w:ind w:firstLine="480" w:firstLineChars="200"/>
      <w:jc w:val="both"/>
    </w:pPr>
    <w:rPr>
      <w:rFonts w:ascii="Times New Roman" w:hAnsi="Times New Roman" w:eastAsia="宋体" w:cs="Times New Roman"/>
      <w:bCs/>
      <w:color w:val="000000"/>
      <w:sz w:val="24"/>
      <w:szCs w:val="28"/>
      <w:lang w:val="en-US" w:eastAsia="zh-CN" w:bidi="ar-SA"/>
    </w:rPr>
  </w:style>
  <w:style w:type="paragraph" w:customStyle="1" w:styleId="88">
    <w:name w:val="报告表格"/>
    <w:next w:val="89"/>
    <w:qFormat/>
    <w:uiPriority w:val="0"/>
    <w:pPr>
      <w:widowControl w:val="0"/>
      <w:autoSpaceDE w:val="0"/>
      <w:autoSpaceDN w:val="0"/>
      <w:adjustRightInd w:val="0"/>
      <w:spacing w:line="318" w:lineRule="atLeast"/>
      <w:jc w:val="center"/>
      <w:textAlignment w:val="bottom"/>
    </w:pPr>
    <w:rPr>
      <w:rFonts w:ascii="Times New Roman" w:hAnsi="Times New Roman" w:eastAsia="宋体" w:cs="Times New Roman"/>
      <w:sz w:val="21"/>
      <w:lang w:val="en-US" w:eastAsia="zh-CN" w:bidi="ar-SA"/>
    </w:rPr>
  </w:style>
  <w:style w:type="paragraph" w:customStyle="1" w:styleId="89">
    <w:name w:val="报告书"/>
    <w:qFormat/>
    <w:uiPriority w:val="0"/>
    <w:pPr>
      <w:widowControl w:val="0"/>
      <w:autoSpaceDE w:val="0"/>
      <w:autoSpaceDN w:val="0"/>
      <w:adjustRightInd w:val="0"/>
      <w:ind w:firstLine="505"/>
      <w:textAlignment w:val="bottom"/>
    </w:pPr>
    <w:rPr>
      <w:rFonts w:ascii="Times New Roman" w:hAnsi="Times New Roman" w:eastAsia="宋体" w:cs="Times New Roman"/>
      <w:sz w:val="21"/>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HJ正文"/>
    <w:qFormat/>
    <w:uiPriority w:val="0"/>
    <w:pPr>
      <w:spacing w:line="360" w:lineRule="auto"/>
      <w:ind w:firstLine="200" w:firstLineChars="200"/>
      <w:jc w:val="both"/>
    </w:pPr>
    <w:rPr>
      <w:rFonts w:ascii="宋体" w:hAnsi="宋体" w:eastAsia="Calibri" w:cs="Times New Roman"/>
      <w:kern w:val="2"/>
      <w:sz w:val="24"/>
      <w:szCs w:val="28"/>
      <w:lang w:val="en-US" w:eastAsia="zh-CN" w:bidi="ar-SA"/>
    </w:rPr>
  </w:style>
  <w:style w:type="paragraph" w:styleId="92">
    <w:name w:val="List Paragraph"/>
    <w:basedOn w:val="1"/>
    <w:qFormat/>
    <w:uiPriority w:val="1"/>
    <w:pPr>
      <w:spacing w:before="199"/>
      <w:ind w:left="1420" w:hanging="600"/>
    </w:pPr>
    <w:rPr>
      <w:rFonts w:ascii="仿宋" w:hAnsi="仿宋" w:eastAsia="仿宋" w:cs="仿宋"/>
      <w:lang w:val="zh-CN" w:bidi="zh-CN"/>
    </w:rPr>
  </w:style>
  <w:style w:type="paragraph" w:customStyle="1" w:styleId="9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报告正文"/>
    <w:basedOn w:val="1"/>
    <w:next w:val="1"/>
    <w:qFormat/>
    <w:uiPriority w:val="0"/>
    <w:pPr>
      <w:widowControl/>
      <w:adjustRightInd w:val="0"/>
      <w:snapToGrid w:val="0"/>
      <w:spacing w:after="200" w:line="360" w:lineRule="auto"/>
      <w:ind w:firstLine="200" w:firstLineChars="200"/>
      <w:jc w:val="left"/>
    </w:pPr>
    <w:rPr>
      <w:kern w:val="0"/>
      <w:sz w:val="24"/>
    </w:rPr>
  </w:style>
  <w:style w:type="paragraph" w:customStyle="1" w:styleId="95">
    <w:name w:val="Other|1"/>
    <w:basedOn w:val="1"/>
    <w:qFormat/>
    <w:uiPriority w:val="0"/>
    <w:pPr>
      <w:spacing w:line="272" w:lineRule="exact"/>
    </w:pPr>
    <w:rPr>
      <w:rFonts w:ascii="宋体" w:hAnsi="宋体" w:eastAsia="宋体" w:cs="宋体"/>
      <w:sz w:val="20"/>
      <w:szCs w:val="20"/>
      <w:lang w:val="zh-TW" w:eastAsia="zh-TW" w:bidi="zh-TW"/>
    </w:rPr>
  </w:style>
  <w:style w:type="paragraph" w:customStyle="1" w:styleId="96">
    <w:name w:val="正文1"/>
    <w:basedOn w:val="1"/>
    <w:qFormat/>
    <w:uiPriority w:val="0"/>
    <w:pPr>
      <w:spacing w:line="520" w:lineRule="exact"/>
      <w:ind w:firstLine="200" w:firstLineChars="200"/>
    </w:pPr>
    <w:rPr>
      <w:color w:val="000000"/>
      <w:sz w:val="28"/>
      <w:szCs w:val="20"/>
    </w:rPr>
  </w:style>
  <w:style w:type="character" w:customStyle="1" w:styleId="97">
    <w:name w:val="font11"/>
    <w:basedOn w:val="27"/>
    <w:qFormat/>
    <w:uiPriority w:val="0"/>
    <w:rPr>
      <w:rFonts w:ascii="宋体" w:hAnsi="宋体" w:eastAsia="宋体" w:cs="宋体"/>
      <w:color w:val="000000"/>
      <w:sz w:val="43"/>
      <w:szCs w:val="43"/>
      <w:u w:val="none"/>
    </w:rPr>
  </w:style>
  <w:style w:type="paragraph" w:customStyle="1" w:styleId="98">
    <w:name w:val="基地正文"/>
    <w:qFormat/>
    <w:uiPriority w:val="0"/>
    <w:pPr>
      <w:widowControl w:val="0"/>
      <w:ind w:firstLine="425" w:firstLineChars="177"/>
      <w:jc w:val="both"/>
    </w:pPr>
    <w:rPr>
      <w:rFonts w:ascii="宋体" w:hAnsi="宋体" w:eastAsia="宋体" w:cs="Times New Roman"/>
      <w:color w:val="000000"/>
      <w:kern w:val="2"/>
      <w:sz w:val="21"/>
      <w:szCs w:val="21"/>
      <w:lang w:val="en-US" w:eastAsia="zh-CN" w:bidi="ar-SA"/>
    </w:rPr>
  </w:style>
  <w:style w:type="paragraph" w:customStyle="1" w:styleId="99">
    <w:name w:val="表格无缩进"/>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100">
    <w:name w:val="font01"/>
    <w:basedOn w:val="27"/>
    <w:qFormat/>
    <w:uiPriority w:val="0"/>
    <w:rPr>
      <w:rFonts w:ascii="宋体" w:hAnsi="宋体" w:eastAsia="宋体" w:cs="宋体"/>
      <w:color w:val="000000"/>
      <w:sz w:val="42"/>
      <w:szCs w:val="42"/>
      <w:u w:val="none"/>
    </w:rPr>
  </w:style>
  <w:style w:type="paragraph" w:customStyle="1" w:styleId="101">
    <w:name w:val="【表中文字】"/>
    <w:basedOn w:val="1"/>
    <w:qFormat/>
    <w:uiPriority w:val="0"/>
    <w:pPr>
      <w:jc w:val="center"/>
    </w:pPr>
    <w:rPr>
      <w:rFonts w:ascii="Calibri" w:hAnsi="Calibri"/>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Calibri" w:cs="Times New Roman"/>
      <w:kern w:val="2"/>
      <w:sz w:val="21"/>
      <w:szCs w:val="24"/>
      <w:lang w:val="en-US" w:eastAsia="zh-CN" w:bidi="ar-SA"/>
    </w:rPr>
  </w:style>
  <w:style w:type="paragraph" w:customStyle="1" w:styleId="103">
    <w:name w:val="样式3"/>
    <w:basedOn w:val="1"/>
    <w:qFormat/>
    <w:uiPriority w:val="0"/>
    <w:pPr>
      <w:tabs>
        <w:tab w:val="right" w:leader="dot" w:pos="8607"/>
        <w:tab w:val="right" w:leader="dot" w:pos="8891"/>
      </w:tabs>
      <w:spacing w:line="360" w:lineRule="auto"/>
      <w:jc w:val="center"/>
    </w:pPr>
    <w:rPr>
      <w:b/>
      <w:szCs w:val="28"/>
    </w:rPr>
  </w:style>
  <w:style w:type="paragraph" w:customStyle="1" w:styleId="104">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105">
    <w:name w:val="文本文本文本"/>
    <w:basedOn w:val="1"/>
    <w:qFormat/>
    <w:uiPriority w:val="0"/>
    <w:pPr>
      <w:spacing w:line="360" w:lineRule="auto"/>
      <w:ind w:firstLine="480" w:firstLineChars="200"/>
    </w:pPr>
    <w:rPr>
      <w:rFonts w:ascii="宋体" w:hAnsi="宋体" w:cs="宋体"/>
      <w:color w:val="000000"/>
      <w:kern w:val="0"/>
      <w:sz w:val="24"/>
      <w:lang w:val="zh-CN"/>
    </w:rPr>
  </w:style>
  <w:style w:type="paragraph" w:customStyle="1" w:styleId="106">
    <w:name w:val="正文01"/>
    <w:basedOn w:val="1"/>
    <w:qFormat/>
    <w:uiPriority w:val="0"/>
    <w:pPr>
      <w:spacing w:before="60" w:line="460" w:lineRule="exact"/>
      <w:ind w:firstLine="200" w:firstLineChars="200"/>
    </w:pPr>
    <w:rPr>
      <w:rFonts w:ascii="Arial" w:hAnsi="Arial"/>
      <w:kern w:val="0"/>
      <w:sz w:val="24"/>
    </w:rPr>
  </w:style>
  <w:style w:type="character" w:customStyle="1" w:styleId="107">
    <w:name w:val="fontstyle01"/>
    <w:qFormat/>
    <w:uiPriority w:val="0"/>
    <w:rPr>
      <w:rFonts w:ascii="宋体" w:hAnsi="宋体" w:eastAsia="宋体" w:cs="宋体"/>
      <w:color w:val="000000"/>
      <w:sz w:val="24"/>
      <w:szCs w:val="24"/>
    </w:rPr>
  </w:style>
  <w:style w:type="paragraph" w:customStyle="1" w:styleId="108">
    <w:name w:val="环评正文"/>
    <w:basedOn w:val="1"/>
    <w:qFormat/>
    <w:uiPriority w:val="0"/>
    <w:pPr>
      <w:spacing w:line="360" w:lineRule="auto"/>
      <w:ind w:firstLine="425" w:firstLineChars="177"/>
    </w:pPr>
    <w:rPr>
      <w:rFonts w:ascii="宋体" w:hAnsi="宋体" w:eastAsia="宋体" w:cs="Times New Roman"/>
      <w:kern w:val="0"/>
      <w:sz w:val="24"/>
    </w:rPr>
  </w:style>
  <w:style w:type="paragraph" w:customStyle="1" w:styleId="109">
    <w:name w:val="Default1"/>
    <w:basedOn w:val="110"/>
    <w:next w:val="1"/>
    <w:qFormat/>
    <w:uiPriority w:val="0"/>
    <w:pPr>
      <w:widowControl w:val="0"/>
      <w:autoSpaceDE w:val="0"/>
      <w:autoSpaceDN w:val="0"/>
      <w:adjustRightInd w:val="0"/>
    </w:pPr>
    <w:rPr>
      <w:rFonts w:ascii="宋体" w:hAnsi="Calibri" w:eastAsia="宋体" w:cs="宋体"/>
      <w:color w:val="000000"/>
      <w:sz w:val="24"/>
      <w:szCs w:val="24"/>
      <w:lang w:val="en-US" w:eastAsia="zh-CN"/>
    </w:rPr>
  </w:style>
  <w:style w:type="paragraph" w:customStyle="1" w:styleId="110">
    <w:name w:val="Normal_14_0"/>
    <w:qFormat/>
    <w:uiPriority w:val="0"/>
    <w:pPr>
      <w:spacing w:before="120" w:after="240"/>
      <w:jc w:val="both"/>
    </w:pPr>
    <w:rPr>
      <w:rFonts w:ascii="Times New Roman" w:hAnsi="Times New Roman" w:eastAsia="Calibri" w:cs="Times New Roman"/>
      <w:sz w:val="22"/>
      <w:szCs w:val="22"/>
      <w:lang w:val="ru-RU" w:eastAsia="en-US" w:bidi="ar-SA"/>
    </w:rPr>
  </w:style>
  <w:style w:type="table" w:customStyle="1" w:styleId="1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2.png"/><Relationship Id="rId3" Type="http://schemas.openxmlformats.org/officeDocument/2006/relationships/footer" Target="foot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60"/>
    <customShpInfo spid="_x0000_s2059"/>
    <customShpInfo spid="_x0000_s2058"/>
    <customShpInfo spid="_x0000_s1055"/>
    <customShpInfo spid="_x0000_s1049"/>
    <customShpInfo spid="_x0000_s1051"/>
    <customShpInfo spid="_x0000_s1059"/>
    <customShpInfo spid="_x0000_s1037"/>
    <customShpInfo spid="_x0000_s1033"/>
    <customShpInfo spid="_x0000_s1032"/>
    <customShpInfo spid="_x0000_s1035"/>
    <customShpInfo spid="_x0000_s1062"/>
    <customShpInfo spid="_x0000_s1048"/>
    <customShpInfo spid="_x0000_s1061"/>
    <customShpInfo spid="_x0000_s1060"/>
    <customShpInfo spid="_x0000_s1039"/>
    <customShpInfo spid="_x0000_s1053"/>
    <customShpInfo spid="_x0000_s1054"/>
    <customShpInfo spid="_x0000_s1030"/>
    <customShpInfo spid="_x0000_s1031"/>
    <customShpInfo spid="_x0000_s1040"/>
    <customShpInfo spid="_x0000_s1056"/>
    <customShpInfo spid="_x0000_s1050"/>
    <customShpInfo spid="_x0000_s1036"/>
    <customShpInfo spid="_x0000_s1038"/>
    <customShpInfo spid="_x0000_s1034"/>
    <customShpInfo spid="_x0000_s1068"/>
    <customShpInfo spid="_x0000_s1067"/>
    <customShpInfo spid="_x0000_s1064"/>
    <customShpInfo spid="_x0000_s1045"/>
    <customShpInfo spid="_x0000_s1063"/>
    <customShpInfo spid="_x0000_s1058"/>
    <customShpInfo spid="_x0000_s1057"/>
    <customShpInfo spid="_x0000_s1041"/>
    <customShpInfo spid="_x0000_s1042"/>
    <customShpInfo spid="_x0000_s1043"/>
    <customShpInfo spid="_x0000_s1044"/>
    <customShpInfo spid="_x0000_s1069"/>
    <customShpInfo spid="_x0000_s1070"/>
    <customShpInfo spid="_x0000_s107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91E39-20B0-4114-BDF3-C0CE8809EA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102</Pages>
  <Words>60646</Words>
  <Characters>67290</Characters>
  <Lines>608</Lines>
  <Paragraphs>171</Paragraphs>
  <TotalTime>1</TotalTime>
  <ScaleCrop>false</ScaleCrop>
  <LinksUpToDate>false</LinksUpToDate>
  <CharactersWithSpaces>67902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2021-04-10T08:10:00Z</dcterms:created>
  <dc:creator>小豆丁</dc:creator>
  <cp:lastModifiedBy>A-悦   </cp:lastModifiedBy>
  <cp:lastPrinted>2023-02-20T09:40:00Z</cp:lastPrinted>
  <dcterms:modified xsi:type="dcterms:W3CDTF">2023-02-22T02:24:29Z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EDEE7F565B764FFBB954488E6BF1109A</vt:lpwstr>
  </property>
</Properties>
</file>