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FD7F61">
      <w:pPr>
        <w:pStyle w:val="3"/>
        <w:keepNext w:val="0"/>
        <w:keepLines w:val="0"/>
        <w:spacing w:before="0" w:after="0" w:line="578" w:lineRule="exact"/>
        <w:jc w:val="center"/>
        <w:rPr>
          <w:rFonts w:ascii="Times New Roman" w:hAnsi="Times New Roman" w:eastAsia="方正小标宋_GBK"/>
          <w:bCs w:val="0"/>
          <w:color w:val="auto"/>
          <w:sz w:val="44"/>
          <w:szCs w:val="44"/>
          <w:highlight w:val="none"/>
        </w:rPr>
      </w:pPr>
    </w:p>
    <w:p w14:paraId="4EBABC8D">
      <w:pPr>
        <w:spacing w:line="720" w:lineRule="auto"/>
        <w:jc w:val="center"/>
        <w:rPr>
          <w:rFonts w:ascii="方正小标宋_GBK" w:hAnsi="方正小标宋_GBK" w:eastAsia="方正小标宋_GBK" w:cs="方正小标宋_GBK"/>
          <w:b/>
          <w:bCs/>
          <w:color w:val="auto"/>
          <w:sz w:val="48"/>
          <w:szCs w:val="48"/>
          <w:highlight w:val="none"/>
        </w:rPr>
      </w:pPr>
      <w:r>
        <w:rPr>
          <w:rFonts w:hint="eastAsia" w:ascii="方正小标宋_GBK" w:hAnsi="方正小标宋_GBK" w:eastAsia="方正小标宋_GBK" w:cs="方正小标宋_GBK"/>
          <w:b/>
          <w:bCs/>
          <w:color w:val="auto"/>
          <w:sz w:val="48"/>
          <w:szCs w:val="48"/>
          <w:highlight w:val="none"/>
        </w:rPr>
        <w:t>美丽白城建设“十五五”规划</w:t>
      </w:r>
    </w:p>
    <w:p w14:paraId="6A5882E0">
      <w:pPr>
        <w:spacing w:line="720" w:lineRule="auto"/>
        <w:jc w:val="center"/>
        <w:rPr>
          <w:rFonts w:ascii="方正楷体_GBK" w:hAnsi="方正楷体_GBK" w:eastAsia="方正楷体_GBK" w:cs="方正楷体_GBK"/>
          <w:b/>
          <w:bCs/>
          <w:color w:val="auto"/>
          <w:sz w:val="48"/>
          <w:szCs w:val="48"/>
          <w:highlight w:val="none"/>
        </w:rPr>
      </w:pPr>
      <w:r>
        <w:rPr>
          <w:rFonts w:hint="eastAsia" w:ascii="方正楷体_GBK" w:hAnsi="方正楷体_GBK" w:eastAsia="方正楷体_GBK" w:cs="方正楷体_GBK"/>
          <w:b/>
          <w:bCs/>
          <w:color w:val="auto"/>
          <w:sz w:val="48"/>
          <w:szCs w:val="48"/>
          <w:highlight w:val="none"/>
        </w:rPr>
        <w:t>（</w:t>
      </w:r>
      <w:r>
        <w:rPr>
          <w:rFonts w:hint="eastAsia" w:ascii="方正楷体_GBK" w:hAnsi="方正楷体_GBK" w:eastAsia="方正楷体_GBK" w:cs="方正楷体_GBK"/>
          <w:b/>
          <w:bCs/>
          <w:color w:val="auto"/>
          <w:sz w:val="48"/>
          <w:szCs w:val="48"/>
          <w:highlight w:val="none"/>
          <w:lang w:val="en-US" w:eastAsia="zh-CN"/>
        </w:rPr>
        <w:t>征求意见稿</w:t>
      </w:r>
      <w:r>
        <w:rPr>
          <w:rFonts w:hint="eastAsia" w:ascii="方正楷体_GBK" w:hAnsi="方正楷体_GBK" w:eastAsia="方正楷体_GBK" w:cs="方正楷体_GBK"/>
          <w:b/>
          <w:bCs/>
          <w:color w:val="auto"/>
          <w:sz w:val="48"/>
          <w:szCs w:val="48"/>
          <w:highlight w:val="none"/>
        </w:rPr>
        <w:t>）</w:t>
      </w:r>
    </w:p>
    <w:p w14:paraId="130E5B2C">
      <w:pPr>
        <w:spacing w:line="360" w:lineRule="auto"/>
        <w:jc w:val="center"/>
        <w:rPr>
          <w:rFonts w:ascii="仿宋" w:hAnsi="仿宋" w:cs="仿宋"/>
          <w:b/>
          <w:bCs/>
          <w:color w:val="auto"/>
          <w:sz w:val="48"/>
          <w:szCs w:val="48"/>
          <w:highlight w:val="none"/>
        </w:rPr>
      </w:pPr>
    </w:p>
    <w:p w14:paraId="01D10D35">
      <w:pPr>
        <w:spacing w:line="360" w:lineRule="auto"/>
        <w:jc w:val="center"/>
        <w:rPr>
          <w:rFonts w:ascii="仿宋" w:hAnsi="仿宋" w:cs="仿宋"/>
          <w:b/>
          <w:bCs/>
          <w:color w:val="auto"/>
          <w:sz w:val="48"/>
          <w:szCs w:val="48"/>
          <w:highlight w:val="none"/>
        </w:rPr>
      </w:pPr>
    </w:p>
    <w:p w14:paraId="7D3472F9">
      <w:pPr>
        <w:spacing w:line="360" w:lineRule="auto"/>
        <w:jc w:val="center"/>
        <w:rPr>
          <w:rFonts w:ascii="仿宋" w:hAnsi="仿宋" w:cs="仿宋"/>
          <w:b/>
          <w:bCs/>
          <w:color w:val="auto"/>
          <w:sz w:val="48"/>
          <w:szCs w:val="48"/>
          <w:highlight w:val="none"/>
        </w:rPr>
      </w:pPr>
    </w:p>
    <w:p w14:paraId="2F84960C">
      <w:pPr>
        <w:spacing w:line="360" w:lineRule="auto"/>
        <w:jc w:val="center"/>
        <w:rPr>
          <w:rFonts w:ascii="仿宋" w:hAnsi="仿宋" w:cs="仿宋"/>
          <w:b/>
          <w:bCs/>
          <w:color w:val="auto"/>
          <w:sz w:val="48"/>
          <w:szCs w:val="48"/>
          <w:highlight w:val="none"/>
        </w:rPr>
      </w:pPr>
    </w:p>
    <w:p w14:paraId="32776120">
      <w:pPr>
        <w:spacing w:line="360" w:lineRule="auto"/>
        <w:jc w:val="center"/>
        <w:rPr>
          <w:rFonts w:ascii="仿宋" w:hAnsi="仿宋" w:cs="仿宋"/>
          <w:b/>
          <w:bCs/>
          <w:color w:val="auto"/>
          <w:sz w:val="48"/>
          <w:szCs w:val="48"/>
          <w:highlight w:val="none"/>
        </w:rPr>
      </w:pPr>
    </w:p>
    <w:p w14:paraId="5F0CD93E">
      <w:pPr>
        <w:spacing w:line="360" w:lineRule="auto"/>
        <w:jc w:val="center"/>
        <w:rPr>
          <w:rFonts w:ascii="仿宋" w:hAnsi="仿宋" w:cs="仿宋"/>
          <w:b/>
          <w:bCs/>
          <w:color w:val="auto"/>
          <w:sz w:val="48"/>
          <w:szCs w:val="48"/>
          <w:highlight w:val="none"/>
        </w:rPr>
      </w:pPr>
    </w:p>
    <w:p w14:paraId="1435AA00">
      <w:pPr>
        <w:spacing w:line="360" w:lineRule="auto"/>
        <w:jc w:val="center"/>
        <w:rPr>
          <w:rFonts w:ascii="仿宋" w:hAnsi="仿宋" w:cs="仿宋"/>
          <w:b/>
          <w:bCs/>
          <w:color w:val="auto"/>
          <w:sz w:val="48"/>
          <w:szCs w:val="48"/>
          <w:highlight w:val="none"/>
        </w:rPr>
      </w:pPr>
    </w:p>
    <w:p w14:paraId="68C4EAAD">
      <w:pPr>
        <w:spacing w:line="360" w:lineRule="auto"/>
        <w:jc w:val="center"/>
        <w:rPr>
          <w:rFonts w:ascii="仿宋" w:hAnsi="仿宋" w:cs="仿宋"/>
          <w:b/>
          <w:bCs/>
          <w:color w:val="auto"/>
          <w:sz w:val="48"/>
          <w:szCs w:val="48"/>
          <w:highlight w:val="none"/>
        </w:rPr>
      </w:pPr>
    </w:p>
    <w:p w14:paraId="1180838C">
      <w:pPr>
        <w:spacing w:line="360" w:lineRule="auto"/>
        <w:jc w:val="center"/>
        <w:rPr>
          <w:rFonts w:ascii="仿宋" w:hAnsi="仿宋" w:cs="仿宋"/>
          <w:b/>
          <w:bCs/>
          <w:color w:val="auto"/>
          <w:sz w:val="48"/>
          <w:szCs w:val="48"/>
          <w:highlight w:val="none"/>
        </w:rPr>
      </w:pPr>
    </w:p>
    <w:p w14:paraId="1C5A164D">
      <w:pPr>
        <w:spacing w:line="360" w:lineRule="auto"/>
        <w:jc w:val="center"/>
        <w:rPr>
          <w:rFonts w:ascii="仿宋" w:hAnsi="仿宋" w:cs="仿宋"/>
          <w:b/>
          <w:bCs/>
          <w:color w:val="auto"/>
          <w:sz w:val="48"/>
          <w:szCs w:val="48"/>
          <w:highlight w:val="none"/>
        </w:rPr>
      </w:pPr>
    </w:p>
    <w:p w14:paraId="68C60354">
      <w:pPr>
        <w:spacing w:line="360" w:lineRule="auto"/>
        <w:jc w:val="center"/>
        <w:rPr>
          <w:rFonts w:ascii="仿宋" w:hAnsi="仿宋" w:cs="仿宋"/>
          <w:b/>
          <w:bCs/>
          <w:color w:val="auto"/>
          <w:sz w:val="36"/>
          <w:szCs w:val="36"/>
          <w:highlight w:val="none"/>
        </w:rPr>
      </w:pPr>
    </w:p>
    <w:p w14:paraId="333E0AD5">
      <w:pPr>
        <w:spacing w:line="360" w:lineRule="auto"/>
        <w:jc w:val="center"/>
        <w:rPr>
          <w:rFonts w:ascii="仿宋" w:hAnsi="仿宋" w:cs="仿宋"/>
          <w:b/>
          <w:bCs/>
          <w:color w:val="auto"/>
          <w:sz w:val="36"/>
          <w:szCs w:val="36"/>
          <w:highlight w:val="none"/>
        </w:rPr>
      </w:pPr>
    </w:p>
    <w:p w14:paraId="68484D6E">
      <w:pPr>
        <w:spacing w:line="360" w:lineRule="auto"/>
        <w:jc w:val="center"/>
        <w:rPr>
          <w:rFonts w:ascii="仿宋" w:hAnsi="仿宋" w:cs="仿宋"/>
          <w:b/>
          <w:bCs/>
          <w:color w:val="auto"/>
          <w:sz w:val="36"/>
          <w:szCs w:val="36"/>
          <w:highlight w:val="none"/>
        </w:rPr>
      </w:pPr>
    </w:p>
    <w:p w14:paraId="7D20E64E">
      <w:pPr>
        <w:snapToGrid w:val="0"/>
        <w:spacing w:beforeLines="50" w:afterLines="50" w:line="578" w:lineRule="exact"/>
        <w:jc w:val="center"/>
        <w:rPr>
          <w:rFonts w:eastAsia="方正仿宋_GBK"/>
          <w:b/>
          <w:color w:val="auto"/>
          <w:sz w:val="36"/>
          <w:szCs w:val="36"/>
          <w:highlight w:val="none"/>
        </w:rPr>
      </w:pPr>
      <w:r>
        <w:rPr>
          <w:rFonts w:eastAsia="方正仿宋_GBK"/>
          <w:b/>
          <w:color w:val="auto"/>
          <w:sz w:val="36"/>
          <w:szCs w:val="36"/>
          <w:highlight w:val="none"/>
        </w:rPr>
        <w:t>白城市生态环境局</w:t>
      </w:r>
    </w:p>
    <w:p w14:paraId="6F8458C2">
      <w:pPr>
        <w:spacing w:line="578" w:lineRule="exact"/>
        <w:jc w:val="center"/>
        <w:rPr>
          <w:rFonts w:eastAsia="方正仿宋_GBK"/>
          <w:b/>
          <w:color w:val="auto"/>
          <w:sz w:val="36"/>
          <w:szCs w:val="36"/>
          <w:highlight w:val="none"/>
        </w:rPr>
      </w:pPr>
      <w:r>
        <w:rPr>
          <w:rFonts w:eastAsia="方正仿宋_GBK"/>
          <w:b/>
          <w:color w:val="auto"/>
          <w:sz w:val="36"/>
          <w:szCs w:val="36"/>
          <w:highlight w:val="none"/>
        </w:rPr>
        <w:t>二〇二六年</w:t>
      </w:r>
      <w:r>
        <w:rPr>
          <w:rFonts w:hint="eastAsia" w:eastAsia="方正仿宋_GBK"/>
          <w:b/>
          <w:color w:val="auto"/>
          <w:sz w:val="36"/>
          <w:szCs w:val="36"/>
          <w:highlight w:val="none"/>
          <w:lang w:val="en-US" w:eastAsia="zh-CN"/>
        </w:rPr>
        <w:t>十</w:t>
      </w:r>
      <w:r>
        <w:rPr>
          <w:rFonts w:eastAsia="方正仿宋_GBK"/>
          <w:b/>
          <w:color w:val="auto"/>
          <w:sz w:val="36"/>
          <w:szCs w:val="36"/>
          <w:highlight w:val="none"/>
        </w:rPr>
        <w:t>月</w:t>
      </w:r>
    </w:p>
    <w:p w14:paraId="1CE297F1">
      <w:pPr>
        <w:spacing w:line="578" w:lineRule="exact"/>
        <w:ind w:firstLine="321" w:firstLineChars="100"/>
        <w:jc w:val="center"/>
        <w:rPr>
          <w:rFonts w:ascii="仿宋" w:hAnsi="仿宋"/>
          <w:b/>
          <w:bCs/>
          <w:color w:val="auto"/>
          <w:sz w:val="32"/>
          <w:szCs w:val="32"/>
          <w:highlight w:val="none"/>
        </w:rPr>
        <w:sectPr>
          <w:pgSz w:w="11906" w:h="16838"/>
          <w:pgMar w:top="2041" w:right="1531" w:bottom="2041" w:left="1531" w:header="851" w:footer="992" w:gutter="0"/>
          <w:pgBorders>
            <w:top w:val="none" w:sz="0" w:space="0"/>
            <w:left w:val="none" w:sz="0" w:space="0"/>
            <w:bottom w:val="none" w:sz="0" w:space="0"/>
            <w:right w:val="none" w:sz="0" w:space="0"/>
          </w:pgBorders>
          <w:cols w:space="720" w:num="1"/>
          <w:docGrid w:type="lines" w:linePitch="312" w:charSpace="0"/>
        </w:sectPr>
      </w:pPr>
    </w:p>
    <w:p w14:paraId="66567C61">
      <w:pPr>
        <w:spacing w:line="578" w:lineRule="exact"/>
        <w:ind w:firstLine="360" w:firstLineChars="100"/>
        <w:jc w:val="center"/>
        <w:rPr>
          <w:rFonts w:ascii="方正黑体_GBK" w:hAnsi="方正黑体_GBK" w:eastAsia="方正黑体_GBK" w:cs="方正黑体_GBK"/>
          <w:color w:val="auto"/>
          <w:sz w:val="36"/>
          <w:szCs w:val="36"/>
          <w:highlight w:val="none"/>
        </w:rPr>
      </w:pPr>
      <w:r>
        <w:rPr>
          <w:rFonts w:hint="eastAsia" w:ascii="方正黑体_GBK" w:hAnsi="方正黑体_GBK" w:eastAsia="方正黑体_GBK" w:cs="方正黑体_GBK"/>
          <w:color w:val="auto"/>
          <w:sz w:val="36"/>
          <w:szCs w:val="36"/>
          <w:highlight w:val="none"/>
        </w:rPr>
        <w:t>目  录</w:t>
      </w:r>
    </w:p>
    <w:p w14:paraId="0DE6B72D">
      <w:pPr>
        <w:pStyle w:val="10"/>
        <w:tabs>
          <w:tab w:val="right" w:leader="dot" w:pos="8844"/>
        </w:tabs>
        <w:rPr>
          <w:color w:val="auto"/>
          <w:highlight w:val="none"/>
        </w:rPr>
      </w:pPr>
      <w:r>
        <w:rPr>
          <w:rFonts w:ascii="仿宋" w:hAnsi="仿宋"/>
          <w:b/>
          <w:bCs/>
          <w:color w:val="auto"/>
          <w:sz w:val="32"/>
          <w:szCs w:val="32"/>
          <w:highlight w:val="none"/>
        </w:rPr>
        <w:fldChar w:fldCharType="begin"/>
      </w:r>
      <w:r>
        <w:rPr>
          <w:rFonts w:ascii="仿宋" w:hAnsi="仿宋"/>
          <w:b/>
          <w:bCs/>
          <w:color w:val="auto"/>
          <w:sz w:val="32"/>
          <w:szCs w:val="32"/>
          <w:highlight w:val="none"/>
        </w:rPr>
        <w:instrText xml:space="preserve">TOC \o "1-2" \h \u </w:instrText>
      </w:r>
      <w:r>
        <w:rPr>
          <w:rFonts w:ascii="仿宋" w:hAnsi="仿宋"/>
          <w:b/>
          <w:bCs/>
          <w:color w:val="auto"/>
          <w:sz w:val="32"/>
          <w:szCs w:val="32"/>
          <w:highlight w:val="none"/>
        </w:rPr>
        <w:fldChar w:fldCharType="separate"/>
      </w:r>
      <w:r>
        <w:rPr>
          <w:rFonts w:ascii="仿宋" w:hAnsi="仿宋"/>
          <w:bCs/>
          <w:color w:val="auto"/>
          <w:szCs w:val="32"/>
          <w:highlight w:val="none"/>
        </w:rPr>
        <w:fldChar w:fldCharType="begin"/>
      </w:r>
      <w:r>
        <w:rPr>
          <w:rFonts w:ascii="仿宋" w:hAnsi="仿宋"/>
          <w:bCs/>
          <w:color w:val="auto"/>
          <w:szCs w:val="32"/>
          <w:highlight w:val="none"/>
        </w:rPr>
        <w:instrText xml:space="preserve"> HYPERLINK \l _Toc24839 </w:instrText>
      </w:r>
      <w:r>
        <w:rPr>
          <w:rFonts w:ascii="仿宋" w:hAnsi="仿宋"/>
          <w:bCs/>
          <w:color w:val="auto"/>
          <w:szCs w:val="32"/>
          <w:highlight w:val="none"/>
        </w:rPr>
        <w:fldChar w:fldCharType="separate"/>
      </w:r>
      <w:r>
        <w:rPr>
          <w:rFonts w:hint="eastAsia" w:ascii="方正黑体_GBK" w:hAnsi="方正黑体_GBK" w:eastAsia="方正黑体_GBK" w:cs="方正黑体_GBK"/>
          <w:bCs w:val="0"/>
          <w:color w:val="auto"/>
          <w:highlight w:val="none"/>
        </w:rPr>
        <w:t>一、锚定西部生态美丽城市目标，描绘“十五五”新蓝图</w:t>
      </w:r>
      <w:r>
        <w:rPr>
          <w:color w:val="auto"/>
          <w:highlight w:val="none"/>
        </w:rPr>
        <w:tab/>
      </w:r>
      <w:r>
        <w:rPr>
          <w:color w:val="auto"/>
          <w:highlight w:val="none"/>
        </w:rPr>
        <w:fldChar w:fldCharType="begin"/>
      </w:r>
      <w:r>
        <w:rPr>
          <w:color w:val="auto"/>
          <w:highlight w:val="none"/>
        </w:rPr>
        <w:instrText xml:space="preserve"> PAGEREF _Toc24839 \h </w:instrText>
      </w:r>
      <w:r>
        <w:rPr>
          <w:color w:val="auto"/>
          <w:highlight w:val="none"/>
        </w:rPr>
        <w:fldChar w:fldCharType="separate"/>
      </w:r>
      <w:r>
        <w:rPr>
          <w:color w:val="auto"/>
          <w:highlight w:val="none"/>
        </w:rPr>
        <w:t>1</w:t>
      </w:r>
      <w:r>
        <w:rPr>
          <w:color w:val="auto"/>
          <w:highlight w:val="none"/>
        </w:rPr>
        <w:fldChar w:fldCharType="end"/>
      </w:r>
      <w:r>
        <w:rPr>
          <w:rFonts w:ascii="仿宋" w:hAnsi="仿宋"/>
          <w:bCs/>
          <w:color w:val="auto"/>
          <w:szCs w:val="32"/>
          <w:highlight w:val="none"/>
        </w:rPr>
        <w:fldChar w:fldCharType="end"/>
      </w:r>
    </w:p>
    <w:p w14:paraId="5BF4440E">
      <w:pPr>
        <w:pStyle w:val="10"/>
        <w:tabs>
          <w:tab w:val="right" w:leader="dot" w:pos="8844"/>
        </w:tabs>
        <w:rPr>
          <w:color w:val="auto"/>
          <w:highlight w:val="none"/>
        </w:rPr>
      </w:pPr>
      <w:r>
        <w:rPr>
          <w:rFonts w:ascii="仿宋" w:hAnsi="仿宋"/>
          <w:bCs/>
          <w:color w:val="auto"/>
          <w:szCs w:val="32"/>
          <w:highlight w:val="none"/>
        </w:rPr>
        <w:fldChar w:fldCharType="begin"/>
      </w:r>
      <w:r>
        <w:rPr>
          <w:rFonts w:ascii="仿宋" w:hAnsi="仿宋"/>
          <w:bCs/>
          <w:color w:val="auto"/>
          <w:szCs w:val="32"/>
          <w:highlight w:val="none"/>
        </w:rPr>
        <w:instrText xml:space="preserve"> HYPERLINK \l _Toc5082 </w:instrText>
      </w:r>
      <w:r>
        <w:rPr>
          <w:rFonts w:ascii="仿宋" w:hAnsi="仿宋"/>
          <w:bCs/>
          <w:color w:val="auto"/>
          <w:szCs w:val="32"/>
          <w:highlight w:val="none"/>
        </w:rPr>
        <w:fldChar w:fldCharType="separate"/>
      </w:r>
      <w:r>
        <w:rPr>
          <w:rFonts w:hint="eastAsia" w:ascii="方正黑体_GBK" w:hAnsi="方正黑体_GBK" w:eastAsia="方正黑体_GBK" w:cs="方正黑体_GBK"/>
          <w:bCs w:val="0"/>
          <w:color w:val="auto"/>
          <w:highlight w:val="none"/>
        </w:rPr>
        <w:t>二、发挥新能源领跑优势，探索绿色低碳转型新路径</w:t>
      </w:r>
      <w:r>
        <w:rPr>
          <w:color w:val="auto"/>
          <w:highlight w:val="none"/>
        </w:rPr>
        <w:tab/>
      </w:r>
      <w:r>
        <w:rPr>
          <w:color w:val="auto"/>
          <w:highlight w:val="none"/>
        </w:rPr>
        <w:fldChar w:fldCharType="begin"/>
      </w:r>
      <w:r>
        <w:rPr>
          <w:color w:val="auto"/>
          <w:highlight w:val="none"/>
        </w:rPr>
        <w:instrText xml:space="preserve"> PAGEREF _Toc5082 \h </w:instrText>
      </w:r>
      <w:r>
        <w:rPr>
          <w:color w:val="auto"/>
          <w:highlight w:val="none"/>
        </w:rPr>
        <w:fldChar w:fldCharType="separate"/>
      </w:r>
      <w:r>
        <w:rPr>
          <w:color w:val="auto"/>
          <w:highlight w:val="none"/>
        </w:rPr>
        <w:t>3</w:t>
      </w:r>
      <w:r>
        <w:rPr>
          <w:color w:val="auto"/>
          <w:highlight w:val="none"/>
        </w:rPr>
        <w:fldChar w:fldCharType="end"/>
      </w:r>
      <w:r>
        <w:rPr>
          <w:rFonts w:ascii="仿宋" w:hAnsi="仿宋"/>
          <w:bCs/>
          <w:color w:val="auto"/>
          <w:szCs w:val="32"/>
          <w:highlight w:val="none"/>
        </w:rPr>
        <w:fldChar w:fldCharType="end"/>
      </w:r>
    </w:p>
    <w:p w14:paraId="287693F3">
      <w:pPr>
        <w:pStyle w:val="10"/>
        <w:tabs>
          <w:tab w:val="right" w:leader="dot" w:pos="8844"/>
        </w:tabs>
        <w:rPr>
          <w:color w:val="auto"/>
          <w:highlight w:val="none"/>
        </w:rPr>
      </w:pPr>
      <w:r>
        <w:rPr>
          <w:rFonts w:ascii="仿宋" w:hAnsi="仿宋"/>
          <w:bCs/>
          <w:color w:val="auto"/>
          <w:szCs w:val="32"/>
          <w:highlight w:val="none"/>
        </w:rPr>
        <w:fldChar w:fldCharType="begin"/>
      </w:r>
      <w:r>
        <w:rPr>
          <w:rFonts w:ascii="仿宋" w:hAnsi="仿宋"/>
          <w:bCs/>
          <w:color w:val="auto"/>
          <w:szCs w:val="32"/>
          <w:highlight w:val="none"/>
        </w:rPr>
        <w:instrText xml:space="preserve"> HYPERLINK \l _Toc7550 </w:instrText>
      </w:r>
      <w:r>
        <w:rPr>
          <w:rFonts w:ascii="仿宋" w:hAnsi="仿宋"/>
          <w:bCs/>
          <w:color w:val="auto"/>
          <w:szCs w:val="32"/>
          <w:highlight w:val="none"/>
        </w:rPr>
        <w:fldChar w:fldCharType="separate"/>
      </w:r>
      <w:r>
        <w:rPr>
          <w:rFonts w:ascii="方正黑体_GBK" w:hAnsi="方正黑体_GBK" w:eastAsia="方正黑体_GBK" w:cs="方正黑体_GBK"/>
          <w:bCs w:val="0"/>
          <w:color w:val="auto"/>
          <w:highlight w:val="none"/>
        </w:rPr>
        <w:t>三、聚焦突出问题攻坚，提升生态环境品质实现新改善</w:t>
      </w:r>
      <w:r>
        <w:rPr>
          <w:color w:val="auto"/>
          <w:highlight w:val="none"/>
        </w:rPr>
        <w:tab/>
      </w:r>
      <w:r>
        <w:rPr>
          <w:rFonts w:hint="eastAsia"/>
          <w:color w:val="auto"/>
          <w:highlight w:val="none"/>
          <w:lang w:val="en-US" w:eastAsia="zh-CN"/>
        </w:rPr>
        <w:t>6</w:t>
      </w:r>
      <w:r>
        <w:rPr>
          <w:rFonts w:ascii="仿宋" w:hAnsi="仿宋"/>
          <w:bCs/>
          <w:color w:val="auto"/>
          <w:szCs w:val="32"/>
          <w:highlight w:val="none"/>
        </w:rPr>
        <w:fldChar w:fldCharType="end"/>
      </w:r>
    </w:p>
    <w:p w14:paraId="62ED023B">
      <w:pPr>
        <w:pStyle w:val="10"/>
        <w:tabs>
          <w:tab w:val="right" w:leader="dot" w:pos="8844"/>
        </w:tabs>
        <w:rPr>
          <w:color w:val="auto"/>
          <w:highlight w:val="none"/>
        </w:rPr>
      </w:pPr>
      <w:r>
        <w:rPr>
          <w:rFonts w:ascii="仿宋" w:hAnsi="仿宋"/>
          <w:bCs/>
          <w:color w:val="auto"/>
          <w:szCs w:val="32"/>
          <w:highlight w:val="none"/>
        </w:rPr>
        <w:fldChar w:fldCharType="begin"/>
      </w:r>
      <w:r>
        <w:rPr>
          <w:rFonts w:ascii="仿宋" w:hAnsi="仿宋"/>
          <w:bCs/>
          <w:color w:val="auto"/>
          <w:szCs w:val="32"/>
          <w:highlight w:val="none"/>
        </w:rPr>
        <w:instrText xml:space="preserve"> HYPERLINK \l _Toc18725 </w:instrText>
      </w:r>
      <w:r>
        <w:rPr>
          <w:rFonts w:ascii="仿宋" w:hAnsi="仿宋"/>
          <w:bCs/>
          <w:color w:val="auto"/>
          <w:szCs w:val="32"/>
          <w:highlight w:val="none"/>
        </w:rPr>
        <w:fldChar w:fldCharType="separate"/>
      </w:r>
      <w:r>
        <w:rPr>
          <w:rFonts w:ascii="方正黑体_GBK" w:hAnsi="方正黑体_GBK" w:eastAsia="方正黑体_GBK" w:cs="方正黑体_GBK"/>
          <w:bCs w:val="0"/>
          <w:color w:val="auto"/>
          <w:highlight w:val="none"/>
        </w:rPr>
        <w:t>四、增强生态系统功能取得新进展</w:t>
      </w:r>
      <w:r>
        <w:rPr>
          <w:color w:val="auto"/>
          <w:highlight w:val="none"/>
        </w:rPr>
        <w:tab/>
      </w:r>
      <w:r>
        <w:rPr>
          <w:color w:val="auto"/>
          <w:highlight w:val="none"/>
        </w:rPr>
        <w:fldChar w:fldCharType="begin"/>
      </w:r>
      <w:r>
        <w:rPr>
          <w:color w:val="auto"/>
          <w:highlight w:val="none"/>
        </w:rPr>
        <w:instrText xml:space="preserve"> PAGEREF _Toc18725 \h </w:instrText>
      </w:r>
      <w:r>
        <w:rPr>
          <w:color w:val="auto"/>
          <w:highlight w:val="none"/>
        </w:rPr>
        <w:fldChar w:fldCharType="separate"/>
      </w:r>
      <w:r>
        <w:rPr>
          <w:color w:val="auto"/>
          <w:highlight w:val="none"/>
        </w:rPr>
        <w:t>1</w:t>
      </w:r>
      <w:r>
        <w:rPr>
          <w:rFonts w:hint="eastAsia"/>
          <w:color w:val="auto"/>
          <w:highlight w:val="none"/>
          <w:lang w:val="en-US" w:eastAsia="zh-CN"/>
        </w:rPr>
        <w:t>0</w:t>
      </w:r>
      <w:r>
        <w:rPr>
          <w:color w:val="auto"/>
          <w:highlight w:val="none"/>
        </w:rPr>
        <w:fldChar w:fldCharType="end"/>
      </w:r>
      <w:r>
        <w:rPr>
          <w:rFonts w:ascii="仿宋" w:hAnsi="仿宋"/>
          <w:bCs/>
          <w:color w:val="auto"/>
          <w:szCs w:val="32"/>
          <w:highlight w:val="none"/>
        </w:rPr>
        <w:fldChar w:fldCharType="end"/>
      </w:r>
    </w:p>
    <w:p w14:paraId="1F29F3D3">
      <w:pPr>
        <w:pStyle w:val="10"/>
        <w:tabs>
          <w:tab w:val="right" w:leader="dot" w:pos="8844"/>
        </w:tabs>
        <w:rPr>
          <w:color w:val="auto"/>
          <w:highlight w:val="none"/>
        </w:rPr>
      </w:pPr>
      <w:r>
        <w:rPr>
          <w:rFonts w:ascii="仿宋" w:hAnsi="仿宋"/>
          <w:bCs/>
          <w:color w:val="auto"/>
          <w:szCs w:val="32"/>
          <w:highlight w:val="none"/>
        </w:rPr>
        <w:fldChar w:fldCharType="begin"/>
      </w:r>
      <w:r>
        <w:rPr>
          <w:rFonts w:ascii="仿宋" w:hAnsi="仿宋"/>
          <w:bCs/>
          <w:color w:val="auto"/>
          <w:szCs w:val="32"/>
          <w:highlight w:val="none"/>
        </w:rPr>
        <w:instrText xml:space="preserve"> HYPERLINK \l _Toc8103 </w:instrText>
      </w:r>
      <w:r>
        <w:rPr>
          <w:rFonts w:ascii="仿宋" w:hAnsi="仿宋"/>
          <w:bCs/>
          <w:color w:val="auto"/>
          <w:szCs w:val="32"/>
          <w:highlight w:val="none"/>
        </w:rPr>
        <w:fldChar w:fldCharType="separate"/>
      </w:r>
      <w:r>
        <w:rPr>
          <w:rFonts w:ascii="方正黑体_GBK" w:hAnsi="方正黑体_GBK" w:eastAsia="方正黑体_GBK" w:cs="方正黑体_GBK"/>
          <w:bCs w:val="0"/>
          <w:color w:val="auto"/>
          <w:highlight w:val="none"/>
        </w:rPr>
        <w:t>五、擦亮</w:t>
      </w:r>
      <w:r>
        <w:rPr>
          <w:rFonts w:hint="eastAsia" w:ascii="方正黑体_GBK" w:hAnsi="方正黑体_GBK" w:eastAsia="方正黑体_GBK" w:cs="方正黑体_GBK"/>
          <w:bCs w:val="0"/>
          <w:color w:val="auto"/>
          <w:highlight w:val="none"/>
        </w:rPr>
        <w:t>“</w:t>
      </w:r>
      <w:r>
        <w:rPr>
          <w:rFonts w:ascii="方正黑体_GBK" w:hAnsi="方正黑体_GBK" w:eastAsia="方正黑体_GBK" w:cs="方正黑体_GBK"/>
          <w:bCs w:val="0"/>
          <w:color w:val="auto"/>
          <w:highlight w:val="none"/>
        </w:rPr>
        <w:t>吉美</w:t>
      </w:r>
      <w:r>
        <w:rPr>
          <w:rFonts w:hint="eastAsia" w:ascii="方正黑体_GBK" w:hAnsi="方正黑体_GBK" w:eastAsia="方正黑体_GBK" w:cs="方正黑体_GBK"/>
          <w:bCs w:val="0"/>
          <w:color w:val="auto"/>
          <w:highlight w:val="none"/>
        </w:rPr>
        <w:t>”</w:t>
      </w:r>
      <w:r>
        <w:rPr>
          <w:rFonts w:ascii="方正黑体_GBK" w:hAnsi="方正黑体_GBK" w:eastAsia="方正黑体_GBK" w:cs="方正黑体_GBK"/>
          <w:bCs w:val="0"/>
          <w:color w:val="auto"/>
          <w:highlight w:val="none"/>
        </w:rPr>
        <w:t>城市名片，绘就美丽白城新画卷</w:t>
      </w:r>
      <w:r>
        <w:rPr>
          <w:color w:val="auto"/>
          <w:highlight w:val="none"/>
        </w:rPr>
        <w:tab/>
      </w:r>
      <w:r>
        <w:rPr>
          <w:color w:val="auto"/>
          <w:highlight w:val="none"/>
        </w:rPr>
        <w:fldChar w:fldCharType="begin"/>
      </w:r>
      <w:r>
        <w:rPr>
          <w:color w:val="auto"/>
          <w:highlight w:val="none"/>
        </w:rPr>
        <w:instrText xml:space="preserve"> PAGEREF _Toc8103 \h </w:instrText>
      </w:r>
      <w:r>
        <w:rPr>
          <w:color w:val="auto"/>
          <w:highlight w:val="none"/>
        </w:rPr>
        <w:fldChar w:fldCharType="separate"/>
      </w:r>
      <w:r>
        <w:rPr>
          <w:color w:val="auto"/>
          <w:highlight w:val="none"/>
        </w:rPr>
        <w:t>1</w:t>
      </w:r>
      <w:r>
        <w:rPr>
          <w:rFonts w:hint="eastAsia"/>
          <w:color w:val="auto"/>
          <w:highlight w:val="none"/>
          <w:lang w:val="en-US" w:eastAsia="zh-CN"/>
        </w:rPr>
        <w:t>1</w:t>
      </w:r>
      <w:r>
        <w:rPr>
          <w:color w:val="auto"/>
          <w:highlight w:val="none"/>
        </w:rPr>
        <w:fldChar w:fldCharType="end"/>
      </w:r>
      <w:r>
        <w:rPr>
          <w:rFonts w:ascii="仿宋" w:hAnsi="仿宋"/>
          <w:bCs/>
          <w:color w:val="auto"/>
          <w:szCs w:val="32"/>
          <w:highlight w:val="none"/>
        </w:rPr>
        <w:fldChar w:fldCharType="end"/>
      </w:r>
    </w:p>
    <w:p w14:paraId="09CB0C83">
      <w:pPr>
        <w:pStyle w:val="10"/>
        <w:tabs>
          <w:tab w:val="right" w:leader="dot" w:pos="8844"/>
        </w:tabs>
        <w:rPr>
          <w:color w:val="auto"/>
          <w:highlight w:val="none"/>
        </w:rPr>
      </w:pPr>
      <w:r>
        <w:rPr>
          <w:rFonts w:ascii="仿宋" w:hAnsi="仿宋"/>
          <w:bCs/>
          <w:color w:val="auto"/>
          <w:szCs w:val="32"/>
          <w:highlight w:val="none"/>
        </w:rPr>
        <w:fldChar w:fldCharType="begin"/>
      </w:r>
      <w:r>
        <w:rPr>
          <w:rFonts w:ascii="仿宋" w:hAnsi="仿宋"/>
          <w:bCs/>
          <w:color w:val="auto"/>
          <w:szCs w:val="32"/>
          <w:highlight w:val="none"/>
        </w:rPr>
        <w:instrText xml:space="preserve"> HYPERLINK \l _Toc13868 </w:instrText>
      </w:r>
      <w:r>
        <w:rPr>
          <w:rFonts w:ascii="仿宋" w:hAnsi="仿宋"/>
          <w:bCs/>
          <w:color w:val="auto"/>
          <w:szCs w:val="32"/>
          <w:highlight w:val="none"/>
        </w:rPr>
        <w:fldChar w:fldCharType="separate"/>
      </w:r>
      <w:r>
        <w:rPr>
          <w:rFonts w:ascii="方正黑体_GBK" w:hAnsi="方正黑体_GBK" w:eastAsia="方正黑体_GBK" w:cs="方正黑体_GBK"/>
          <w:bCs w:val="0"/>
          <w:color w:val="auto"/>
          <w:highlight w:val="none"/>
        </w:rPr>
        <w:t>六、深挖生态资源价值，“两山”转化打开新局面</w:t>
      </w:r>
      <w:r>
        <w:rPr>
          <w:color w:val="auto"/>
          <w:highlight w:val="none"/>
        </w:rPr>
        <w:tab/>
      </w:r>
      <w:r>
        <w:rPr>
          <w:color w:val="auto"/>
          <w:highlight w:val="none"/>
        </w:rPr>
        <w:fldChar w:fldCharType="begin"/>
      </w:r>
      <w:r>
        <w:rPr>
          <w:color w:val="auto"/>
          <w:highlight w:val="none"/>
        </w:rPr>
        <w:instrText xml:space="preserve"> PAGEREF _Toc13868 \h </w:instrText>
      </w:r>
      <w:r>
        <w:rPr>
          <w:color w:val="auto"/>
          <w:highlight w:val="none"/>
        </w:rPr>
        <w:fldChar w:fldCharType="separate"/>
      </w:r>
      <w:r>
        <w:rPr>
          <w:color w:val="auto"/>
          <w:highlight w:val="none"/>
        </w:rPr>
        <w:t>1</w:t>
      </w:r>
      <w:r>
        <w:rPr>
          <w:rFonts w:hint="eastAsia"/>
          <w:color w:val="auto"/>
          <w:highlight w:val="none"/>
          <w:lang w:val="en-US" w:eastAsia="zh-CN"/>
        </w:rPr>
        <w:t>3</w:t>
      </w:r>
      <w:r>
        <w:rPr>
          <w:color w:val="auto"/>
          <w:highlight w:val="none"/>
        </w:rPr>
        <w:fldChar w:fldCharType="end"/>
      </w:r>
      <w:r>
        <w:rPr>
          <w:rFonts w:ascii="仿宋" w:hAnsi="仿宋"/>
          <w:bCs/>
          <w:color w:val="auto"/>
          <w:szCs w:val="32"/>
          <w:highlight w:val="none"/>
        </w:rPr>
        <w:fldChar w:fldCharType="end"/>
      </w:r>
    </w:p>
    <w:p w14:paraId="57EF65A9">
      <w:pPr>
        <w:pStyle w:val="10"/>
        <w:tabs>
          <w:tab w:val="right" w:leader="dot" w:pos="8844"/>
        </w:tabs>
        <w:rPr>
          <w:color w:val="auto"/>
          <w:highlight w:val="none"/>
        </w:rPr>
      </w:pPr>
      <w:r>
        <w:rPr>
          <w:rFonts w:ascii="仿宋" w:hAnsi="仿宋"/>
          <w:bCs/>
          <w:color w:val="auto"/>
          <w:szCs w:val="32"/>
          <w:highlight w:val="none"/>
        </w:rPr>
        <w:fldChar w:fldCharType="begin"/>
      </w:r>
      <w:r>
        <w:rPr>
          <w:rFonts w:ascii="仿宋" w:hAnsi="仿宋"/>
          <w:bCs/>
          <w:color w:val="auto"/>
          <w:szCs w:val="32"/>
          <w:highlight w:val="none"/>
        </w:rPr>
        <w:instrText xml:space="preserve"> HYPERLINK \l _Toc28972 </w:instrText>
      </w:r>
      <w:r>
        <w:rPr>
          <w:rFonts w:ascii="仿宋" w:hAnsi="仿宋"/>
          <w:bCs/>
          <w:color w:val="auto"/>
          <w:szCs w:val="32"/>
          <w:highlight w:val="none"/>
        </w:rPr>
        <w:fldChar w:fldCharType="separate"/>
      </w:r>
      <w:r>
        <w:rPr>
          <w:rFonts w:hint="eastAsia" w:ascii="方正黑体_GBK" w:hAnsi="方正黑体_GBK" w:eastAsia="方正黑体_GBK" w:cs="方正黑体_GBK"/>
          <w:bCs w:val="0"/>
          <w:color w:val="auto"/>
          <w:highlight w:val="none"/>
          <w:lang w:val="en-US" w:eastAsia="zh-CN"/>
        </w:rPr>
        <w:t>七</w:t>
      </w:r>
      <w:r>
        <w:rPr>
          <w:rFonts w:hint="eastAsia" w:ascii="方正黑体_GBK" w:hAnsi="方正黑体_GBK" w:eastAsia="方正黑体_GBK" w:cs="方正黑体_GBK"/>
          <w:bCs w:val="0"/>
          <w:color w:val="auto"/>
          <w:highlight w:val="none"/>
        </w:rPr>
        <w:t>、筑牢环境安全底板，守好西部生态安全防线迈上新台阶</w:t>
      </w:r>
      <w:r>
        <w:rPr>
          <w:color w:val="auto"/>
          <w:highlight w:val="none"/>
        </w:rPr>
        <w:tab/>
      </w:r>
      <w:r>
        <w:rPr>
          <w:color w:val="auto"/>
          <w:highlight w:val="none"/>
        </w:rPr>
        <w:fldChar w:fldCharType="begin"/>
      </w:r>
      <w:r>
        <w:rPr>
          <w:color w:val="auto"/>
          <w:highlight w:val="none"/>
        </w:rPr>
        <w:instrText xml:space="preserve"> PAGEREF _Toc28972 \h </w:instrText>
      </w:r>
      <w:r>
        <w:rPr>
          <w:color w:val="auto"/>
          <w:highlight w:val="none"/>
        </w:rPr>
        <w:fldChar w:fldCharType="separate"/>
      </w:r>
      <w:r>
        <w:rPr>
          <w:color w:val="auto"/>
          <w:highlight w:val="none"/>
        </w:rPr>
        <w:t>1</w:t>
      </w:r>
      <w:r>
        <w:rPr>
          <w:rFonts w:hint="eastAsia"/>
          <w:color w:val="auto"/>
          <w:highlight w:val="none"/>
          <w:lang w:val="en-US" w:eastAsia="zh-CN"/>
        </w:rPr>
        <w:t>5</w:t>
      </w:r>
      <w:r>
        <w:rPr>
          <w:color w:val="auto"/>
          <w:highlight w:val="none"/>
        </w:rPr>
        <w:fldChar w:fldCharType="end"/>
      </w:r>
      <w:r>
        <w:rPr>
          <w:rFonts w:ascii="仿宋" w:hAnsi="仿宋"/>
          <w:bCs/>
          <w:color w:val="auto"/>
          <w:szCs w:val="32"/>
          <w:highlight w:val="none"/>
        </w:rPr>
        <w:fldChar w:fldCharType="end"/>
      </w:r>
    </w:p>
    <w:p w14:paraId="248AFD1F">
      <w:pPr>
        <w:pStyle w:val="10"/>
        <w:tabs>
          <w:tab w:val="right" w:leader="dot" w:pos="8844"/>
        </w:tabs>
        <w:rPr>
          <w:rFonts w:hint="eastAsia" w:eastAsia="仿宋"/>
          <w:color w:val="auto"/>
          <w:highlight w:val="none"/>
          <w:lang w:val="en-US" w:eastAsia="zh-CN"/>
        </w:rPr>
      </w:pPr>
      <w:r>
        <w:rPr>
          <w:rFonts w:ascii="仿宋" w:hAnsi="仿宋"/>
          <w:bCs/>
          <w:color w:val="auto"/>
          <w:szCs w:val="32"/>
          <w:highlight w:val="none"/>
        </w:rPr>
        <w:fldChar w:fldCharType="begin"/>
      </w:r>
      <w:r>
        <w:rPr>
          <w:rFonts w:ascii="仿宋" w:hAnsi="仿宋"/>
          <w:bCs/>
          <w:color w:val="auto"/>
          <w:szCs w:val="32"/>
          <w:highlight w:val="none"/>
        </w:rPr>
        <w:instrText xml:space="preserve"> HYPERLINK \l _Toc7794 </w:instrText>
      </w:r>
      <w:r>
        <w:rPr>
          <w:rFonts w:ascii="仿宋" w:hAnsi="仿宋"/>
          <w:bCs/>
          <w:color w:val="auto"/>
          <w:szCs w:val="32"/>
          <w:highlight w:val="none"/>
        </w:rPr>
        <w:fldChar w:fldCharType="separate"/>
      </w:r>
      <w:r>
        <w:rPr>
          <w:rFonts w:hint="eastAsia" w:ascii="方正黑体_GBK" w:hAnsi="方正黑体_GBK" w:eastAsia="方正黑体_GBK" w:cs="方正黑体_GBK"/>
          <w:bCs w:val="0"/>
          <w:color w:val="auto"/>
          <w:highlight w:val="none"/>
          <w:lang w:val="en-US" w:eastAsia="zh-CN"/>
        </w:rPr>
        <w:t>八</w:t>
      </w:r>
      <w:r>
        <w:rPr>
          <w:rFonts w:hint="eastAsia" w:ascii="方正黑体_GBK" w:hAnsi="方正黑体_GBK" w:eastAsia="方正黑体_GBK" w:cs="方正黑体_GBK"/>
          <w:bCs w:val="0"/>
          <w:color w:val="auto"/>
          <w:highlight w:val="none"/>
        </w:rPr>
        <w:t>、持续推进数智赋能，提升生态环境治理现代化新水平</w:t>
      </w:r>
      <w:r>
        <w:rPr>
          <w:color w:val="auto"/>
          <w:highlight w:val="none"/>
        </w:rPr>
        <w:tab/>
      </w:r>
      <w:r>
        <w:rPr>
          <w:rFonts w:hint="eastAsia"/>
          <w:color w:val="auto"/>
          <w:highlight w:val="none"/>
          <w:lang w:val="en-US" w:eastAsia="zh-CN"/>
        </w:rPr>
        <w:t>1</w:t>
      </w:r>
      <w:r>
        <w:rPr>
          <w:rFonts w:ascii="仿宋" w:hAnsi="仿宋"/>
          <w:bCs/>
          <w:color w:val="auto"/>
          <w:szCs w:val="32"/>
          <w:highlight w:val="none"/>
        </w:rPr>
        <w:fldChar w:fldCharType="end"/>
      </w:r>
      <w:r>
        <w:rPr>
          <w:rFonts w:hint="eastAsia" w:ascii="仿宋" w:hAnsi="仿宋"/>
          <w:bCs/>
          <w:color w:val="auto"/>
          <w:szCs w:val="32"/>
          <w:highlight w:val="none"/>
          <w:lang w:val="en-US" w:eastAsia="zh-CN"/>
        </w:rPr>
        <w:t>6</w:t>
      </w:r>
    </w:p>
    <w:p w14:paraId="41288926">
      <w:pPr>
        <w:pStyle w:val="10"/>
        <w:tabs>
          <w:tab w:val="right" w:leader="dot" w:pos="8844"/>
        </w:tabs>
        <w:rPr>
          <w:rFonts w:hint="eastAsia" w:eastAsia="仿宋"/>
          <w:color w:val="auto"/>
          <w:highlight w:val="none"/>
          <w:lang w:val="en-US" w:eastAsia="zh-CN"/>
        </w:rPr>
      </w:pPr>
      <w:r>
        <w:rPr>
          <w:rFonts w:ascii="仿宋" w:hAnsi="仿宋"/>
          <w:bCs/>
          <w:color w:val="auto"/>
          <w:szCs w:val="32"/>
          <w:highlight w:val="none"/>
        </w:rPr>
        <w:fldChar w:fldCharType="begin"/>
      </w:r>
      <w:r>
        <w:rPr>
          <w:rFonts w:ascii="仿宋" w:hAnsi="仿宋"/>
          <w:bCs/>
          <w:color w:val="auto"/>
          <w:szCs w:val="32"/>
          <w:highlight w:val="none"/>
        </w:rPr>
        <w:instrText xml:space="preserve"> HYPERLINK \l _Toc11773 </w:instrText>
      </w:r>
      <w:r>
        <w:rPr>
          <w:rFonts w:ascii="仿宋" w:hAnsi="仿宋"/>
          <w:bCs/>
          <w:color w:val="auto"/>
          <w:szCs w:val="32"/>
          <w:highlight w:val="none"/>
        </w:rPr>
        <w:fldChar w:fldCharType="separate"/>
      </w:r>
      <w:r>
        <w:rPr>
          <w:rFonts w:hint="eastAsia" w:ascii="方正黑体_GBK" w:hAnsi="方正黑体_GBK" w:eastAsia="方正黑体_GBK" w:cs="方正黑体_GBK"/>
          <w:bCs w:val="0"/>
          <w:color w:val="auto"/>
          <w:highlight w:val="none"/>
          <w:lang w:val="en-US" w:eastAsia="zh-CN"/>
        </w:rPr>
        <w:t>九</w:t>
      </w:r>
      <w:r>
        <w:rPr>
          <w:rFonts w:hint="eastAsia" w:ascii="方正黑体_GBK" w:hAnsi="方正黑体_GBK" w:eastAsia="方正黑体_GBK" w:cs="方正黑体_GBK"/>
          <w:bCs w:val="0"/>
          <w:color w:val="auto"/>
          <w:highlight w:val="none"/>
        </w:rPr>
        <w:t>、创新体制机制，推动美丽白城建设机制实现新优化</w:t>
      </w:r>
      <w:r>
        <w:rPr>
          <w:color w:val="auto"/>
          <w:highlight w:val="none"/>
        </w:rPr>
        <w:tab/>
      </w:r>
      <w:r>
        <w:rPr>
          <w:rFonts w:hint="eastAsia"/>
          <w:color w:val="auto"/>
          <w:highlight w:val="none"/>
          <w:lang w:val="en-US" w:eastAsia="zh-CN"/>
        </w:rPr>
        <w:t>1</w:t>
      </w:r>
      <w:r>
        <w:rPr>
          <w:rFonts w:ascii="仿宋" w:hAnsi="仿宋"/>
          <w:bCs/>
          <w:color w:val="auto"/>
          <w:szCs w:val="32"/>
          <w:highlight w:val="none"/>
        </w:rPr>
        <w:fldChar w:fldCharType="end"/>
      </w:r>
      <w:r>
        <w:rPr>
          <w:rFonts w:hint="eastAsia" w:ascii="仿宋" w:hAnsi="仿宋"/>
          <w:bCs/>
          <w:color w:val="auto"/>
          <w:szCs w:val="32"/>
          <w:highlight w:val="none"/>
          <w:lang w:val="en-US" w:eastAsia="zh-CN"/>
        </w:rPr>
        <w:t>8</w:t>
      </w:r>
    </w:p>
    <w:p w14:paraId="3369BC0C">
      <w:pPr>
        <w:pStyle w:val="10"/>
        <w:tabs>
          <w:tab w:val="right" w:leader="dot" w:pos="8844"/>
        </w:tabs>
        <w:rPr>
          <w:rFonts w:hint="eastAsia" w:eastAsia="仿宋"/>
          <w:color w:val="auto"/>
          <w:highlight w:val="none"/>
          <w:lang w:val="en-US" w:eastAsia="zh-CN"/>
        </w:rPr>
      </w:pPr>
      <w:r>
        <w:rPr>
          <w:rFonts w:ascii="仿宋" w:hAnsi="仿宋"/>
          <w:bCs/>
          <w:color w:val="auto"/>
          <w:szCs w:val="32"/>
          <w:highlight w:val="none"/>
        </w:rPr>
        <w:fldChar w:fldCharType="begin"/>
      </w:r>
      <w:r>
        <w:rPr>
          <w:rFonts w:ascii="仿宋" w:hAnsi="仿宋"/>
          <w:bCs/>
          <w:color w:val="auto"/>
          <w:szCs w:val="32"/>
          <w:highlight w:val="none"/>
        </w:rPr>
        <w:instrText xml:space="preserve"> HYPERLINK \l _Toc25273 </w:instrText>
      </w:r>
      <w:r>
        <w:rPr>
          <w:rFonts w:ascii="仿宋" w:hAnsi="仿宋"/>
          <w:bCs/>
          <w:color w:val="auto"/>
          <w:szCs w:val="32"/>
          <w:highlight w:val="none"/>
        </w:rPr>
        <w:fldChar w:fldCharType="separate"/>
      </w:r>
      <w:r>
        <w:rPr>
          <w:rFonts w:hint="eastAsia" w:ascii="方正黑体_GBK" w:hAnsi="方正黑体_GBK" w:eastAsia="方正黑体_GBK" w:cs="方正黑体_GBK"/>
          <w:bCs w:val="0"/>
          <w:color w:val="auto"/>
          <w:highlight w:val="none"/>
        </w:rPr>
        <w:t>十、强化统筹协调，确保规划任务落地见效</w:t>
      </w:r>
      <w:r>
        <w:rPr>
          <w:color w:val="auto"/>
          <w:highlight w:val="none"/>
        </w:rPr>
        <w:tab/>
      </w:r>
      <w:r>
        <w:rPr>
          <w:rFonts w:hint="eastAsia"/>
          <w:color w:val="auto"/>
          <w:highlight w:val="none"/>
          <w:lang w:val="en-US" w:eastAsia="zh-CN"/>
        </w:rPr>
        <w:t>2</w:t>
      </w:r>
      <w:r>
        <w:rPr>
          <w:rFonts w:ascii="仿宋" w:hAnsi="仿宋"/>
          <w:bCs/>
          <w:color w:val="auto"/>
          <w:szCs w:val="32"/>
          <w:highlight w:val="none"/>
        </w:rPr>
        <w:fldChar w:fldCharType="end"/>
      </w:r>
      <w:r>
        <w:rPr>
          <w:rFonts w:hint="eastAsia" w:ascii="仿宋" w:hAnsi="仿宋"/>
          <w:bCs/>
          <w:color w:val="auto"/>
          <w:szCs w:val="32"/>
          <w:highlight w:val="none"/>
          <w:lang w:val="en-US" w:eastAsia="zh-CN"/>
        </w:rPr>
        <w:t>0</w:t>
      </w:r>
    </w:p>
    <w:p w14:paraId="49F214F4">
      <w:pPr>
        <w:spacing w:line="578" w:lineRule="exact"/>
        <w:ind w:firstLine="300" w:firstLineChars="100"/>
        <w:jc w:val="left"/>
        <w:rPr>
          <w:rFonts w:ascii="仿宋" w:hAnsi="仿宋"/>
          <w:b/>
          <w:bCs/>
          <w:color w:val="auto"/>
          <w:sz w:val="32"/>
          <w:szCs w:val="32"/>
          <w:highlight w:val="none"/>
        </w:rPr>
      </w:pPr>
      <w:r>
        <w:rPr>
          <w:rFonts w:ascii="仿宋" w:hAnsi="仿宋"/>
          <w:bCs/>
          <w:color w:val="auto"/>
          <w:szCs w:val="32"/>
          <w:highlight w:val="none"/>
        </w:rPr>
        <w:fldChar w:fldCharType="end"/>
      </w:r>
    </w:p>
    <w:p w14:paraId="4B03C2CF">
      <w:pPr>
        <w:spacing w:line="578" w:lineRule="exact"/>
        <w:ind w:firstLine="300" w:firstLineChars="100"/>
        <w:jc w:val="left"/>
        <w:rPr>
          <w:rFonts w:eastAsia="方正仿宋_GBK"/>
          <w:color w:val="auto"/>
          <w:szCs w:val="32"/>
          <w:highlight w:val="none"/>
        </w:rPr>
      </w:pPr>
    </w:p>
    <w:p w14:paraId="177CE1B5">
      <w:pPr>
        <w:spacing w:line="578" w:lineRule="exact"/>
        <w:ind w:firstLine="320" w:firstLineChars="100"/>
        <w:jc w:val="left"/>
        <w:rPr>
          <w:rFonts w:eastAsia="方正仿宋_GBK"/>
          <w:color w:val="auto"/>
          <w:sz w:val="32"/>
          <w:szCs w:val="32"/>
          <w:highlight w:val="none"/>
        </w:rPr>
      </w:pPr>
    </w:p>
    <w:p w14:paraId="658FDEF7">
      <w:pPr>
        <w:spacing w:line="578" w:lineRule="exact"/>
        <w:ind w:firstLine="320" w:firstLineChars="100"/>
        <w:jc w:val="left"/>
        <w:rPr>
          <w:rFonts w:eastAsia="方正仿宋_GBK"/>
          <w:color w:val="auto"/>
          <w:sz w:val="32"/>
          <w:szCs w:val="32"/>
          <w:highlight w:val="none"/>
        </w:rPr>
      </w:pPr>
    </w:p>
    <w:p w14:paraId="1F64BB0F">
      <w:pPr>
        <w:spacing w:line="578" w:lineRule="exact"/>
        <w:ind w:firstLine="320" w:firstLineChars="100"/>
        <w:jc w:val="left"/>
        <w:rPr>
          <w:rFonts w:eastAsia="方正仿宋_GBK"/>
          <w:color w:val="auto"/>
          <w:sz w:val="32"/>
          <w:szCs w:val="32"/>
          <w:highlight w:val="none"/>
        </w:rPr>
      </w:pPr>
    </w:p>
    <w:p w14:paraId="3A0ED78B">
      <w:pPr>
        <w:spacing w:line="578" w:lineRule="exact"/>
        <w:ind w:firstLine="320" w:firstLineChars="100"/>
        <w:jc w:val="left"/>
        <w:rPr>
          <w:rFonts w:eastAsia="方正仿宋_GBK"/>
          <w:color w:val="auto"/>
          <w:sz w:val="32"/>
          <w:szCs w:val="32"/>
          <w:highlight w:val="none"/>
        </w:rPr>
      </w:pPr>
    </w:p>
    <w:p w14:paraId="33AAE90F">
      <w:pPr>
        <w:spacing w:line="578" w:lineRule="exact"/>
        <w:ind w:firstLine="320" w:firstLineChars="100"/>
        <w:jc w:val="left"/>
        <w:rPr>
          <w:rFonts w:eastAsia="方正仿宋_GBK"/>
          <w:color w:val="auto"/>
          <w:sz w:val="32"/>
          <w:szCs w:val="32"/>
          <w:highlight w:val="none"/>
        </w:rPr>
      </w:pPr>
    </w:p>
    <w:p w14:paraId="1A988210">
      <w:pPr>
        <w:spacing w:line="578" w:lineRule="exact"/>
        <w:ind w:firstLine="320" w:firstLineChars="100"/>
        <w:jc w:val="left"/>
        <w:rPr>
          <w:rFonts w:eastAsia="方正仿宋_GBK"/>
          <w:color w:val="auto"/>
          <w:sz w:val="32"/>
          <w:szCs w:val="32"/>
          <w:highlight w:val="none"/>
        </w:rPr>
      </w:pPr>
    </w:p>
    <w:p w14:paraId="7912FEA1">
      <w:pPr>
        <w:spacing w:line="578" w:lineRule="exact"/>
        <w:jc w:val="left"/>
        <w:rPr>
          <w:rFonts w:eastAsia="方正仿宋_GBK"/>
          <w:color w:val="auto"/>
          <w:sz w:val="32"/>
          <w:szCs w:val="32"/>
          <w:highlight w:val="none"/>
        </w:rPr>
      </w:pPr>
    </w:p>
    <w:p w14:paraId="02470102">
      <w:pPr>
        <w:spacing w:line="578" w:lineRule="exact"/>
        <w:ind w:firstLine="640" w:firstLineChars="200"/>
        <w:jc w:val="left"/>
        <w:rPr>
          <w:rFonts w:eastAsia="方正仿宋_GBK"/>
          <w:color w:val="auto"/>
          <w:sz w:val="32"/>
          <w:szCs w:val="32"/>
          <w:highlight w:val="none"/>
        </w:rPr>
        <w:sectPr>
          <w:footerReference r:id="rId3" w:type="default"/>
          <w:pgSz w:w="11906" w:h="16838"/>
          <w:pgMar w:top="2041" w:right="1531" w:bottom="2041" w:left="1531"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007953B4">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ascii="方正小标宋_GBK" w:hAnsi="方正小标宋_GBK" w:eastAsia="方正小标宋_GBK" w:cs="方正小标宋_GBK"/>
          <w:color w:val="auto"/>
          <w:sz w:val="44"/>
          <w:szCs w:val="44"/>
          <w:highlight w:val="none"/>
        </w:rPr>
      </w:pPr>
      <w:r>
        <w:rPr>
          <w:rFonts w:hint="eastAsia" w:ascii="方正小标宋_GBK" w:hAnsi="方正小标宋_GBK" w:eastAsia="方正小标宋_GBK" w:cs="方正小标宋_GBK"/>
          <w:color w:val="auto"/>
          <w:sz w:val="44"/>
          <w:szCs w:val="44"/>
          <w:highlight w:val="none"/>
        </w:rPr>
        <w:t>美丽白城建设“十五五”规划</w:t>
      </w:r>
    </w:p>
    <w:p w14:paraId="5FB42951">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eastAsia="方正仿宋_GBK"/>
          <w:color w:val="auto"/>
          <w:sz w:val="32"/>
          <w:szCs w:val="32"/>
          <w:highlight w:val="none"/>
        </w:rPr>
      </w:pPr>
    </w:p>
    <w:p w14:paraId="6F88AAA6">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eastAsia="方正仿宋_GBK"/>
          <w:color w:val="auto"/>
          <w:sz w:val="32"/>
          <w:szCs w:val="32"/>
          <w:highlight w:val="none"/>
        </w:rPr>
      </w:pPr>
      <w:r>
        <w:rPr>
          <w:rFonts w:eastAsia="方正仿宋_GBK"/>
          <w:color w:val="auto"/>
          <w:sz w:val="32"/>
          <w:szCs w:val="32"/>
          <w:highlight w:val="none"/>
        </w:rPr>
        <w:t>白城地处吉林省西部，科尔沁草原东部，是吉林西部生态安全屏障的核心承载区。“十四五”以来，白城市以新能源产业领跑全省、“三纵三横”水系与区域双循环水系建设破题开局、空气质量优良天数占比持续</w:t>
      </w:r>
      <w:r>
        <w:rPr>
          <w:rFonts w:hint="eastAsia" w:eastAsia="方正仿宋_GBK"/>
          <w:color w:val="auto"/>
          <w:sz w:val="32"/>
          <w:szCs w:val="32"/>
          <w:highlight w:val="none"/>
          <w:lang w:eastAsia="zh-CN"/>
        </w:rPr>
        <w:t>优于</w:t>
      </w:r>
      <w:r>
        <w:rPr>
          <w:rFonts w:eastAsia="方正仿宋_GBK"/>
          <w:color w:val="auto"/>
          <w:sz w:val="32"/>
          <w:szCs w:val="32"/>
          <w:highlight w:val="none"/>
        </w:rPr>
        <w:t>全省平均水平，在全省率先实施林草湿生态连通工程，全域劣Ⅴ类水体全面清零，走出了一条生态优先、绿色发展的振兴之路。面向“十五五”，白城作为东北地区首个“千万千瓦级新能源发电城市”和国家级能源领域氢能试点区域，生态环境保护工作站在了新的历史起点上。为全面落实党中央、国务院关于美丽中国建设的重大决策部署和省委、省政府美丽吉林建设部署要求，确保我市“十五五”时期生态环境质量全面改善、美丽白城建设取得新的重大进展，编制本规划。</w:t>
      </w:r>
    </w:p>
    <w:p w14:paraId="1A499E42">
      <w:pPr>
        <w:pStyle w:val="3"/>
        <w:keepNext w:val="0"/>
        <w:keepLines w:val="0"/>
        <w:pageBreakBefore w:val="0"/>
        <w:widowControl w:val="0"/>
        <w:kinsoku/>
        <w:wordWrap/>
        <w:overflowPunct/>
        <w:topLinePunct w:val="0"/>
        <w:autoSpaceDE/>
        <w:autoSpaceDN/>
        <w:bidi w:val="0"/>
        <w:adjustRightInd/>
        <w:snapToGrid/>
        <w:spacing w:before="0" w:after="0" w:line="578" w:lineRule="exact"/>
        <w:ind w:firstLine="640" w:firstLineChars="200"/>
        <w:jc w:val="left"/>
        <w:textAlignment w:val="auto"/>
        <w:rPr>
          <w:rFonts w:ascii="方正黑体_GBK" w:hAnsi="方正黑体_GBK" w:eastAsia="方正黑体_GBK" w:cs="方正黑体_GBK"/>
          <w:bCs w:val="0"/>
          <w:color w:val="auto"/>
          <w:highlight w:val="none"/>
        </w:rPr>
      </w:pPr>
      <w:bookmarkStart w:id="0" w:name="_Toc24839"/>
      <w:r>
        <w:rPr>
          <w:rFonts w:hint="eastAsia" w:ascii="方正黑体_GBK" w:hAnsi="方正黑体_GBK" w:eastAsia="方正黑体_GBK" w:cs="方正黑体_GBK"/>
          <w:bCs w:val="0"/>
          <w:color w:val="auto"/>
          <w:highlight w:val="none"/>
        </w:rPr>
        <w:t>一、锚定西部生态美丽城市目标，描绘“十五五”新蓝图</w:t>
      </w:r>
      <w:bookmarkEnd w:id="0"/>
    </w:p>
    <w:p w14:paraId="0DA16468">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eastAsia="方正仿宋_GBK"/>
          <w:color w:val="auto"/>
          <w:sz w:val="32"/>
          <w:szCs w:val="32"/>
          <w:highlight w:val="none"/>
        </w:rPr>
      </w:pPr>
      <w:r>
        <w:rPr>
          <w:rFonts w:eastAsia="方正仿宋_GBK"/>
          <w:color w:val="auto"/>
          <w:sz w:val="32"/>
          <w:szCs w:val="32"/>
          <w:highlight w:val="none"/>
        </w:rPr>
        <w:t>深入贯彻习近平生态文明思想和习近平总书记关于东北全面振兴和吉林工作的系列重要讲话重要指示精神，全面落实党的二十大和二十届历次全会关于美丽中国建设的战略部署，牢固树立和践行绿水青山就是金山银山的理念，牢牢把握白城在维护国家“五大安全”中的职责使命，紧扣白城城市</w:t>
      </w:r>
      <w:r>
        <w:rPr>
          <w:rFonts w:hint="eastAsia" w:eastAsia="方正仿宋_GBK"/>
          <w:color w:val="auto"/>
          <w:sz w:val="32"/>
          <w:szCs w:val="32"/>
          <w:highlight w:val="none"/>
          <w:lang w:val="en-US" w:eastAsia="zh-CN"/>
        </w:rPr>
        <w:t>发展</w:t>
      </w:r>
      <w:r>
        <w:rPr>
          <w:rFonts w:eastAsia="方正仿宋_GBK"/>
          <w:color w:val="auto"/>
          <w:sz w:val="32"/>
          <w:szCs w:val="32"/>
          <w:highlight w:val="none"/>
        </w:rPr>
        <w:t>定位，以筑牢吉林西部生态安全屏障为统领，统筹能源结构调整、产业转型升级、污染深度治理、生态保护修复，协同推进降碳、减污、扩绿、增长，加快形成“生态产业化、产业生态化”的发展格局。</w:t>
      </w:r>
    </w:p>
    <w:p w14:paraId="2F99CBBD">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eastAsia="方正仿宋_GBK"/>
          <w:color w:val="auto"/>
          <w:sz w:val="32"/>
          <w:szCs w:val="32"/>
          <w:highlight w:val="none"/>
        </w:rPr>
      </w:pPr>
      <w:r>
        <w:rPr>
          <w:rFonts w:eastAsia="方正仿宋_GBK"/>
          <w:color w:val="auto"/>
          <w:sz w:val="32"/>
          <w:szCs w:val="32"/>
          <w:highlight w:val="none"/>
        </w:rPr>
        <w:t>预计到2030年，白城市生态环境质量全面改善，美丽白城建设取得标志性成果。清洁能源装机规模达到</w:t>
      </w:r>
      <w:r>
        <w:rPr>
          <w:rFonts w:hint="eastAsia" w:eastAsia="方正仿宋_GBK"/>
          <w:color w:val="auto"/>
          <w:sz w:val="32"/>
          <w:szCs w:val="32"/>
          <w:highlight w:val="none"/>
          <w:lang w:val="en-US" w:eastAsia="zh-CN"/>
        </w:rPr>
        <w:t>3500</w:t>
      </w:r>
      <w:r>
        <w:rPr>
          <w:rFonts w:eastAsia="方正仿宋_GBK"/>
          <w:color w:val="auto"/>
          <w:sz w:val="32"/>
          <w:szCs w:val="32"/>
          <w:highlight w:val="none"/>
        </w:rPr>
        <w:t>万千瓦，非化石能源消费比重大幅提升，绿色甲醇、绿氢合成氨等氢基绿能产能达到</w:t>
      </w:r>
      <w:r>
        <w:rPr>
          <w:rFonts w:hint="eastAsia" w:eastAsia="方正仿宋_GBK"/>
          <w:color w:val="auto"/>
          <w:sz w:val="32"/>
          <w:szCs w:val="32"/>
          <w:highlight w:val="none"/>
          <w:lang w:val="en-US" w:eastAsia="zh-CN"/>
        </w:rPr>
        <w:t>164</w:t>
      </w:r>
      <w:r>
        <w:rPr>
          <w:rFonts w:eastAsia="方正仿宋_GBK"/>
          <w:color w:val="auto"/>
          <w:sz w:val="32"/>
          <w:szCs w:val="32"/>
          <w:highlight w:val="none"/>
        </w:rPr>
        <w:t>万吨左右</w:t>
      </w:r>
      <w:r>
        <w:rPr>
          <w:rFonts w:hint="eastAsia" w:eastAsia="方正仿宋_GBK"/>
          <w:color w:val="auto"/>
          <w:sz w:val="32"/>
          <w:szCs w:val="32"/>
          <w:highlight w:val="none"/>
          <w:lang w:eastAsia="zh-CN"/>
        </w:rPr>
        <w:t>，</w:t>
      </w:r>
      <w:r>
        <w:rPr>
          <w:rFonts w:eastAsia="方正仿宋_GBK"/>
          <w:color w:val="auto"/>
          <w:sz w:val="32"/>
          <w:szCs w:val="32"/>
          <w:highlight w:val="none"/>
        </w:rPr>
        <w:t>绿色生产生活方式基本形成，碳达峰目标如期实现。“三纵三横”水系与区域双循环水系全面构建，向海、莫莫格等国际重要湿地生态功能显著增强，松嫩鹤乡国家公园创建取得实质性突破，森林覆盖率达到10.28%。全市细颗粒物浓度、优良水体比例等核心指标力争走在全省前列，公众对生态环境满意度稳定在较高水平，城乡居民对生态环境的获得感、幸福感、安全感显著增强。</w:t>
      </w:r>
    </w:p>
    <w:p w14:paraId="73A0467E">
      <w:pPr>
        <w:jc w:val="center"/>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白城市“十五五”生态环境保护目标指标体系表</w:t>
      </w:r>
    </w:p>
    <w:p w14:paraId="0558113E">
      <w:pPr>
        <w:spacing w:line="180" w:lineRule="exact"/>
        <w:rPr>
          <w:color w:val="auto"/>
          <w:highlight w:val="none"/>
        </w:rPr>
      </w:pPr>
    </w:p>
    <w:tbl>
      <w:tblPr>
        <w:tblStyle w:val="19"/>
        <w:tblW w:w="5031"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863"/>
        <w:gridCol w:w="868"/>
        <w:gridCol w:w="1151"/>
        <w:gridCol w:w="1996"/>
        <w:gridCol w:w="1388"/>
        <w:gridCol w:w="1331"/>
        <w:gridCol w:w="1308"/>
      </w:tblGrid>
      <w:tr w14:paraId="1E6E06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485" w:type="pct"/>
            <w:tcBorders>
              <w:tl2br w:val="nil"/>
              <w:tr2bl w:val="nil"/>
            </w:tcBorders>
            <w:vAlign w:val="center"/>
          </w:tcPr>
          <w:p w14:paraId="10B483E7">
            <w:pPr>
              <w:pStyle w:val="20"/>
              <w:spacing w:before="78" w:line="241" w:lineRule="auto"/>
              <w:ind w:left="165" w:right="155"/>
              <w:jc w:val="center"/>
              <w:rPr>
                <w:rFonts w:hint="default" w:ascii="Times New Roman" w:hAnsi="Times New Roman" w:eastAsia="楷体" w:cs="Times New Roman"/>
                <w:b/>
                <w:bCs/>
                <w:color w:val="auto"/>
                <w:spacing w:val="-4"/>
                <w:highlight w:val="none"/>
                <w:lang w:val="en-US" w:eastAsia="zh-CN"/>
              </w:rPr>
            </w:pPr>
            <w:r>
              <w:rPr>
                <w:rFonts w:hint="default" w:ascii="Times New Roman" w:hAnsi="Times New Roman" w:eastAsia="楷体" w:cs="Times New Roman"/>
                <w:b/>
                <w:bCs/>
                <w:color w:val="auto"/>
                <w:spacing w:val="-4"/>
                <w:highlight w:val="none"/>
                <w:lang w:val="en-US" w:eastAsia="zh-CN"/>
              </w:rPr>
              <w:t>序号</w:t>
            </w:r>
          </w:p>
        </w:tc>
        <w:tc>
          <w:tcPr>
            <w:tcW w:w="487" w:type="pct"/>
            <w:tcBorders>
              <w:tl2br w:val="nil"/>
              <w:tr2bl w:val="nil"/>
            </w:tcBorders>
            <w:vAlign w:val="center"/>
          </w:tcPr>
          <w:p w14:paraId="30D10627">
            <w:pPr>
              <w:pStyle w:val="20"/>
              <w:spacing w:before="78" w:line="241" w:lineRule="auto"/>
              <w:ind w:left="165" w:right="155"/>
              <w:jc w:val="center"/>
              <w:rPr>
                <w:rFonts w:hint="default" w:ascii="Times New Roman" w:hAnsi="Times New Roman" w:eastAsia="楷体" w:cs="Times New Roman"/>
                <w:b/>
                <w:bCs/>
                <w:color w:val="auto"/>
                <w:spacing w:val="-4"/>
                <w:highlight w:val="none"/>
                <w:lang w:val="en-US" w:eastAsia="zh-CN"/>
              </w:rPr>
            </w:pPr>
            <w:r>
              <w:rPr>
                <w:rFonts w:hint="default" w:ascii="Times New Roman" w:hAnsi="Times New Roman" w:eastAsia="楷体" w:cs="Times New Roman"/>
                <w:b/>
                <w:bCs/>
                <w:color w:val="auto"/>
                <w:spacing w:val="-4"/>
                <w:highlight w:val="none"/>
                <w:lang w:val="en-US" w:eastAsia="zh-CN"/>
              </w:rPr>
              <w:t>领域</w:t>
            </w:r>
          </w:p>
        </w:tc>
        <w:tc>
          <w:tcPr>
            <w:tcW w:w="1766" w:type="pct"/>
            <w:gridSpan w:val="2"/>
            <w:tcBorders>
              <w:tl2br w:val="nil"/>
              <w:tr2bl w:val="nil"/>
            </w:tcBorders>
            <w:vAlign w:val="center"/>
          </w:tcPr>
          <w:p w14:paraId="2E7A3854">
            <w:pPr>
              <w:pStyle w:val="20"/>
              <w:spacing w:before="78" w:line="241" w:lineRule="auto"/>
              <w:ind w:left="165" w:right="155"/>
              <w:jc w:val="center"/>
              <w:rPr>
                <w:rFonts w:hint="default" w:ascii="Times New Roman" w:hAnsi="Times New Roman" w:eastAsia="楷体" w:cs="Times New Roman"/>
                <w:b/>
                <w:bCs/>
                <w:color w:val="auto"/>
                <w:spacing w:val="-4"/>
                <w:highlight w:val="none"/>
                <w:lang w:val="en-US" w:eastAsia="zh-CN"/>
              </w:rPr>
            </w:pPr>
            <w:r>
              <w:rPr>
                <w:rFonts w:hint="default" w:ascii="Times New Roman" w:hAnsi="Times New Roman" w:eastAsia="楷体" w:cs="Times New Roman"/>
                <w:b/>
                <w:bCs/>
                <w:color w:val="auto"/>
                <w:spacing w:val="-4"/>
                <w:highlight w:val="none"/>
                <w:lang w:val="en-US" w:eastAsia="zh-CN"/>
              </w:rPr>
              <w:t>指  标</w:t>
            </w:r>
          </w:p>
        </w:tc>
        <w:tc>
          <w:tcPr>
            <w:tcW w:w="779" w:type="pct"/>
            <w:tcBorders>
              <w:tl2br w:val="nil"/>
              <w:tr2bl w:val="nil"/>
            </w:tcBorders>
            <w:vAlign w:val="center"/>
          </w:tcPr>
          <w:p w14:paraId="45CBBAF8">
            <w:pPr>
              <w:pStyle w:val="20"/>
              <w:spacing w:before="78" w:line="241" w:lineRule="auto"/>
              <w:ind w:left="165" w:right="155"/>
              <w:jc w:val="center"/>
              <w:rPr>
                <w:rFonts w:hint="default" w:ascii="Times New Roman" w:hAnsi="Times New Roman" w:eastAsia="楷体" w:cs="Times New Roman"/>
                <w:b/>
                <w:bCs/>
                <w:color w:val="auto"/>
                <w:spacing w:val="-4"/>
                <w:highlight w:val="none"/>
                <w:lang w:val="en-US" w:eastAsia="zh-CN"/>
              </w:rPr>
            </w:pPr>
            <w:r>
              <w:rPr>
                <w:rFonts w:hint="default" w:ascii="Times New Roman" w:hAnsi="Times New Roman" w:eastAsia="楷体" w:cs="Times New Roman"/>
                <w:b/>
                <w:bCs/>
                <w:color w:val="auto"/>
                <w:spacing w:val="-4"/>
                <w:highlight w:val="none"/>
                <w:lang w:val="en-US" w:eastAsia="zh-CN"/>
              </w:rPr>
              <w:t>2025年</w:t>
            </w:r>
          </w:p>
          <w:p w14:paraId="0F73C8B6">
            <w:pPr>
              <w:pStyle w:val="20"/>
              <w:spacing w:before="78" w:line="241" w:lineRule="auto"/>
              <w:ind w:left="165" w:right="155"/>
              <w:jc w:val="center"/>
              <w:rPr>
                <w:rFonts w:hint="default" w:ascii="Times New Roman" w:hAnsi="Times New Roman" w:eastAsia="楷体" w:cs="Times New Roman"/>
                <w:b/>
                <w:bCs/>
                <w:color w:val="auto"/>
                <w:spacing w:val="-4"/>
                <w:highlight w:val="none"/>
                <w:lang w:val="en-US" w:eastAsia="zh-CN"/>
              </w:rPr>
            </w:pPr>
            <w:r>
              <w:rPr>
                <w:rFonts w:hint="default" w:ascii="Times New Roman" w:hAnsi="Times New Roman" w:eastAsia="楷体" w:cs="Times New Roman"/>
                <w:b/>
                <w:bCs/>
                <w:color w:val="auto"/>
                <w:spacing w:val="-4"/>
                <w:highlight w:val="none"/>
                <w:lang w:val="en-US" w:eastAsia="zh-CN"/>
              </w:rPr>
              <w:t>/现状值</w:t>
            </w:r>
          </w:p>
        </w:tc>
        <w:tc>
          <w:tcPr>
            <w:tcW w:w="747" w:type="pct"/>
            <w:tcBorders>
              <w:tl2br w:val="nil"/>
              <w:tr2bl w:val="nil"/>
            </w:tcBorders>
            <w:vAlign w:val="center"/>
          </w:tcPr>
          <w:p w14:paraId="3DF5E658">
            <w:pPr>
              <w:pStyle w:val="20"/>
              <w:spacing w:before="78" w:line="241" w:lineRule="auto"/>
              <w:ind w:left="165" w:right="155"/>
              <w:jc w:val="center"/>
              <w:rPr>
                <w:rFonts w:hint="default" w:ascii="Times New Roman" w:hAnsi="Times New Roman" w:eastAsia="楷体" w:cs="Times New Roman"/>
                <w:b/>
                <w:bCs/>
                <w:color w:val="auto"/>
                <w:spacing w:val="-4"/>
                <w:highlight w:val="none"/>
                <w:lang w:val="en-US" w:eastAsia="zh-CN"/>
              </w:rPr>
            </w:pPr>
            <w:r>
              <w:rPr>
                <w:rFonts w:hint="default" w:ascii="Times New Roman" w:hAnsi="Times New Roman" w:eastAsia="楷体" w:cs="Times New Roman"/>
                <w:b/>
                <w:bCs/>
                <w:color w:val="auto"/>
                <w:spacing w:val="-4"/>
                <w:highlight w:val="none"/>
                <w:lang w:val="en-US" w:eastAsia="zh-CN"/>
              </w:rPr>
              <w:t>2030年</w:t>
            </w:r>
          </w:p>
          <w:p w14:paraId="206EBDAF">
            <w:pPr>
              <w:pStyle w:val="20"/>
              <w:spacing w:before="78" w:line="241" w:lineRule="auto"/>
              <w:ind w:left="165" w:right="155"/>
              <w:jc w:val="center"/>
              <w:rPr>
                <w:rFonts w:hint="default" w:ascii="Times New Roman" w:hAnsi="Times New Roman" w:eastAsia="楷体" w:cs="Times New Roman"/>
                <w:b/>
                <w:bCs/>
                <w:color w:val="auto"/>
                <w:spacing w:val="-4"/>
                <w:highlight w:val="none"/>
                <w:lang w:val="en-US" w:eastAsia="zh-CN"/>
              </w:rPr>
            </w:pPr>
            <w:r>
              <w:rPr>
                <w:rFonts w:hint="default" w:ascii="Times New Roman" w:hAnsi="Times New Roman" w:eastAsia="楷体" w:cs="Times New Roman"/>
                <w:b/>
                <w:bCs/>
                <w:color w:val="auto"/>
                <w:spacing w:val="-4"/>
                <w:highlight w:val="none"/>
                <w:lang w:val="en-US" w:eastAsia="zh-CN"/>
              </w:rPr>
              <w:t>/目标值</w:t>
            </w:r>
          </w:p>
        </w:tc>
        <w:tc>
          <w:tcPr>
            <w:tcW w:w="734" w:type="pct"/>
            <w:tcBorders>
              <w:tl2br w:val="nil"/>
              <w:tr2bl w:val="nil"/>
            </w:tcBorders>
            <w:vAlign w:val="center"/>
          </w:tcPr>
          <w:p w14:paraId="30C5CD6B">
            <w:pPr>
              <w:pStyle w:val="20"/>
              <w:spacing w:before="78" w:line="241" w:lineRule="auto"/>
              <w:ind w:left="165" w:right="155"/>
              <w:jc w:val="center"/>
              <w:rPr>
                <w:rFonts w:hint="default" w:ascii="Times New Roman" w:hAnsi="Times New Roman" w:eastAsia="楷体" w:cs="Times New Roman"/>
                <w:b/>
                <w:bCs/>
                <w:color w:val="auto"/>
                <w:spacing w:val="-4"/>
                <w:highlight w:val="none"/>
                <w:lang w:val="en-US" w:eastAsia="zh-CN"/>
              </w:rPr>
            </w:pPr>
            <w:r>
              <w:rPr>
                <w:rFonts w:hint="default" w:ascii="Times New Roman" w:hAnsi="Times New Roman" w:eastAsia="楷体" w:cs="Times New Roman"/>
                <w:b/>
                <w:bCs/>
                <w:color w:val="auto"/>
                <w:spacing w:val="-4"/>
                <w:highlight w:val="none"/>
                <w:lang w:val="en-US" w:eastAsia="zh-CN"/>
              </w:rPr>
              <w:t>指标属性</w:t>
            </w:r>
          </w:p>
        </w:tc>
      </w:tr>
      <w:tr w14:paraId="7BB684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6" w:hRule="atLeast"/>
        </w:trPr>
        <w:tc>
          <w:tcPr>
            <w:tcW w:w="485" w:type="pct"/>
            <w:tcBorders>
              <w:tl2br w:val="nil"/>
              <w:tr2bl w:val="nil"/>
            </w:tcBorders>
            <w:vAlign w:val="center"/>
          </w:tcPr>
          <w:p w14:paraId="2FA57C08">
            <w:pPr>
              <w:pStyle w:val="20"/>
              <w:spacing w:before="78" w:line="241" w:lineRule="auto"/>
              <w:ind w:left="165" w:right="155"/>
              <w:jc w:val="center"/>
              <w:rPr>
                <w:rFonts w:hint="default" w:ascii="Times New Roman" w:hAnsi="Times New Roman" w:eastAsia="楷体" w:cs="Times New Roman"/>
                <w:color w:val="auto"/>
                <w:spacing w:val="-4"/>
                <w:highlight w:val="none"/>
                <w:lang w:val="en-US" w:eastAsia="zh-CN"/>
              </w:rPr>
            </w:pPr>
            <w:r>
              <w:rPr>
                <w:rFonts w:hint="default" w:ascii="Times New Roman" w:hAnsi="Times New Roman" w:eastAsia="楷体" w:cs="Times New Roman"/>
                <w:color w:val="auto"/>
                <w:spacing w:val="-4"/>
                <w:highlight w:val="none"/>
                <w:lang w:val="en-US" w:eastAsia="zh-CN"/>
              </w:rPr>
              <w:t>1</w:t>
            </w:r>
          </w:p>
        </w:tc>
        <w:tc>
          <w:tcPr>
            <w:tcW w:w="487" w:type="pct"/>
            <w:vMerge w:val="restart"/>
            <w:tcBorders>
              <w:tl2br w:val="nil"/>
              <w:tr2bl w:val="nil"/>
            </w:tcBorders>
            <w:vAlign w:val="center"/>
          </w:tcPr>
          <w:p w14:paraId="21F689C5">
            <w:pPr>
              <w:pStyle w:val="20"/>
              <w:spacing w:before="78" w:line="241" w:lineRule="auto"/>
              <w:ind w:left="165" w:right="155"/>
              <w:jc w:val="center"/>
              <w:rPr>
                <w:rFonts w:hint="default" w:ascii="Times New Roman" w:hAnsi="Times New Roman" w:eastAsia="楷体" w:cs="Times New Roman"/>
                <w:color w:val="auto"/>
                <w:highlight w:val="none"/>
              </w:rPr>
            </w:pPr>
            <w:r>
              <w:rPr>
                <w:rFonts w:hint="default" w:ascii="Times New Roman" w:hAnsi="Times New Roman" w:eastAsia="楷体" w:cs="Times New Roman"/>
                <w:color w:val="auto"/>
                <w:spacing w:val="-4"/>
                <w:highlight w:val="none"/>
              </w:rPr>
              <w:t>环境质量改善</w:t>
            </w:r>
          </w:p>
        </w:tc>
        <w:tc>
          <w:tcPr>
            <w:tcW w:w="3147" w:type="dxa"/>
            <w:gridSpan w:val="2"/>
            <w:tcBorders>
              <w:tl2br w:val="nil"/>
              <w:tr2bl w:val="nil"/>
            </w:tcBorders>
            <w:vAlign w:val="center"/>
          </w:tcPr>
          <w:p w14:paraId="5E5EDDA1">
            <w:pPr>
              <w:pStyle w:val="20"/>
              <w:spacing w:before="78" w:line="241" w:lineRule="auto"/>
              <w:ind w:right="155" w:rightChars="0"/>
              <w:jc w:val="center"/>
              <w:rPr>
                <w:rFonts w:hint="default" w:ascii="Times New Roman" w:hAnsi="Times New Roman" w:eastAsia="楷体" w:cs="Times New Roman"/>
                <w:b w:val="0"/>
                <w:bCs w:val="0"/>
                <w:color w:val="auto"/>
                <w:spacing w:val="-4"/>
                <w:highlight w:val="none"/>
                <w:lang w:val="en-US" w:eastAsia="zh-CN"/>
              </w:rPr>
            </w:pPr>
            <w:r>
              <w:rPr>
                <w:rFonts w:hint="default" w:ascii="Times New Roman" w:hAnsi="Times New Roman" w:eastAsia="楷体" w:cs="Times New Roman"/>
                <w:b w:val="0"/>
                <w:bCs w:val="0"/>
                <w:color w:val="auto"/>
                <w:spacing w:val="-4"/>
                <w:highlight w:val="none"/>
                <w:lang w:val="en-US" w:eastAsia="zh-CN"/>
              </w:rPr>
              <w:t>地级及以上城市细颗粒物（PM</w:t>
            </w:r>
            <w:r>
              <w:rPr>
                <w:rFonts w:hint="default" w:ascii="Times New Roman" w:hAnsi="Times New Roman" w:eastAsia="楷体" w:cs="Times New Roman"/>
                <w:b w:val="0"/>
                <w:bCs w:val="0"/>
                <w:color w:val="auto"/>
                <w:spacing w:val="-4"/>
                <w:highlight w:val="none"/>
                <w:vertAlign w:val="subscript"/>
                <w:lang w:val="en-US" w:eastAsia="zh-CN"/>
              </w:rPr>
              <w:t>2.5</w:t>
            </w:r>
            <w:r>
              <w:rPr>
                <w:rFonts w:hint="default" w:ascii="Times New Roman" w:hAnsi="Times New Roman" w:eastAsia="楷体" w:cs="Times New Roman"/>
                <w:b w:val="0"/>
                <w:bCs w:val="0"/>
                <w:color w:val="auto"/>
                <w:spacing w:val="-4"/>
                <w:highlight w:val="none"/>
                <w:lang w:val="en-US" w:eastAsia="zh-CN"/>
              </w:rPr>
              <w:t>）</w:t>
            </w:r>
            <w:r>
              <w:rPr>
                <w:rFonts w:hint="eastAsia" w:ascii="Times New Roman" w:hAnsi="Times New Roman" w:cs="Times New Roman"/>
                <w:b w:val="0"/>
                <w:bCs w:val="0"/>
                <w:color w:val="auto"/>
                <w:spacing w:val="-4"/>
                <w:highlight w:val="none"/>
                <w:lang w:val="en-US" w:eastAsia="zh-CN"/>
              </w:rPr>
              <w:t>年平均</w:t>
            </w:r>
            <w:r>
              <w:rPr>
                <w:rFonts w:hint="default" w:ascii="Times New Roman" w:hAnsi="Times New Roman" w:eastAsia="楷体" w:cs="Times New Roman"/>
                <w:b w:val="0"/>
                <w:bCs w:val="0"/>
                <w:color w:val="auto"/>
                <w:spacing w:val="-4"/>
                <w:highlight w:val="none"/>
                <w:lang w:val="en-US" w:eastAsia="zh-CN"/>
              </w:rPr>
              <w:t>浓度（微克/立方米）</w:t>
            </w:r>
          </w:p>
        </w:tc>
        <w:tc>
          <w:tcPr>
            <w:tcW w:w="1388" w:type="dxa"/>
            <w:tcBorders>
              <w:tl2br w:val="nil"/>
              <w:tr2bl w:val="nil"/>
            </w:tcBorders>
            <w:vAlign w:val="center"/>
          </w:tcPr>
          <w:p w14:paraId="4948E801">
            <w:pPr>
              <w:spacing w:before="159" w:line="315" w:lineRule="exact"/>
              <w:jc w:val="center"/>
              <w:rPr>
                <w:rFonts w:hint="default" w:ascii="Times New Roman" w:hAnsi="Times New Roman" w:eastAsia="楷体" w:cs="Times New Roman"/>
                <w:b/>
                <w:bCs/>
                <w:color w:val="auto"/>
                <w:spacing w:val="-4"/>
                <w:highlight w:val="none"/>
                <w:lang w:val="en-US" w:eastAsia="zh-CN"/>
              </w:rPr>
            </w:pPr>
            <w:r>
              <w:rPr>
                <w:rFonts w:hint="eastAsia" w:eastAsia="楷体" w:cs="Times New Roman"/>
                <w:color w:val="auto"/>
                <w:sz w:val="24"/>
                <w:szCs w:val="24"/>
                <w:highlight w:val="none"/>
                <w:lang w:val="en-US" w:eastAsia="zh-CN"/>
              </w:rPr>
              <w:t>24</w:t>
            </w:r>
          </w:p>
        </w:tc>
        <w:tc>
          <w:tcPr>
            <w:tcW w:w="747" w:type="pct"/>
            <w:tcBorders>
              <w:tl2br w:val="nil"/>
              <w:tr2bl w:val="nil"/>
            </w:tcBorders>
            <w:vAlign w:val="center"/>
          </w:tcPr>
          <w:p w14:paraId="672ECADF">
            <w:pPr>
              <w:pStyle w:val="20"/>
              <w:spacing w:before="36" w:line="218" w:lineRule="auto"/>
              <w:jc w:val="center"/>
              <w:rPr>
                <w:rFonts w:hint="default" w:ascii="Times New Roman" w:hAnsi="Times New Roman" w:eastAsia="楷体" w:cs="Times New Roman"/>
                <w:color w:val="auto"/>
                <w:spacing w:val="-5"/>
                <w:highlight w:val="none"/>
                <w:lang w:eastAsia="zh-CN"/>
              </w:rPr>
            </w:pPr>
            <w:r>
              <w:rPr>
                <w:rFonts w:hint="default" w:ascii="Times New Roman" w:hAnsi="Times New Roman" w:eastAsia="楷体" w:cs="Times New Roman"/>
                <w:color w:val="auto"/>
                <w:spacing w:val="-5"/>
                <w:highlight w:val="none"/>
              </w:rPr>
              <w:t>达到</w:t>
            </w:r>
            <w:r>
              <w:rPr>
                <w:rFonts w:hint="default" w:ascii="Times New Roman" w:hAnsi="Times New Roman" w:eastAsia="楷体" w:cs="Times New Roman"/>
                <w:color w:val="auto"/>
                <w:spacing w:val="-5"/>
                <w:highlight w:val="none"/>
                <w:lang w:eastAsia="zh-CN"/>
              </w:rPr>
              <w:t>省</w:t>
            </w:r>
          </w:p>
          <w:p w14:paraId="6C63F1A3">
            <w:pPr>
              <w:pStyle w:val="20"/>
              <w:spacing w:before="36" w:line="218" w:lineRule="auto"/>
              <w:jc w:val="center"/>
              <w:rPr>
                <w:rFonts w:hint="default" w:ascii="Times New Roman" w:hAnsi="Times New Roman" w:eastAsia="楷体" w:cs="Times New Roman"/>
                <w:color w:val="auto"/>
                <w:highlight w:val="none"/>
              </w:rPr>
            </w:pPr>
            <w:r>
              <w:rPr>
                <w:rFonts w:hint="default" w:ascii="Times New Roman" w:hAnsi="Times New Roman" w:eastAsia="楷体" w:cs="Times New Roman"/>
                <w:color w:val="auto"/>
                <w:spacing w:val="-5"/>
                <w:highlight w:val="none"/>
              </w:rPr>
              <w:t>下达目标</w:t>
            </w:r>
          </w:p>
        </w:tc>
        <w:tc>
          <w:tcPr>
            <w:tcW w:w="734" w:type="pct"/>
            <w:tcBorders>
              <w:tl2br w:val="nil"/>
              <w:tr2bl w:val="nil"/>
            </w:tcBorders>
            <w:vAlign w:val="center"/>
          </w:tcPr>
          <w:p w14:paraId="74D0177B">
            <w:pPr>
              <w:pStyle w:val="20"/>
              <w:spacing w:before="193" w:line="214" w:lineRule="auto"/>
              <w:jc w:val="center"/>
              <w:rPr>
                <w:rFonts w:hint="default" w:ascii="Times New Roman" w:hAnsi="Times New Roman" w:eastAsia="楷体" w:cs="Times New Roman"/>
                <w:color w:val="auto"/>
                <w:highlight w:val="none"/>
              </w:rPr>
            </w:pPr>
            <w:r>
              <w:rPr>
                <w:rFonts w:hint="default" w:ascii="Times New Roman" w:hAnsi="Times New Roman" w:eastAsia="楷体" w:cs="Times New Roman"/>
                <w:b/>
                <w:bCs/>
                <w:color w:val="auto"/>
                <w:spacing w:val="-8"/>
                <w:highlight w:val="none"/>
              </w:rPr>
              <w:t>约束性</w:t>
            </w:r>
          </w:p>
        </w:tc>
      </w:tr>
      <w:tr w14:paraId="2F3674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485" w:type="pct"/>
            <w:tcBorders>
              <w:tl2br w:val="nil"/>
              <w:tr2bl w:val="nil"/>
            </w:tcBorders>
            <w:vAlign w:val="center"/>
          </w:tcPr>
          <w:p w14:paraId="4C89B240">
            <w:pPr>
              <w:jc w:val="center"/>
              <w:rPr>
                <w:rFonts w:hint="default" w:ascii="Times New Roman" w:hAnsi="Times New Roman" w:eastAsia="楷体" w:cs="Times New Roman"/>
                <w:color w:val="auto"/>
                <w:sz w:val="21"/>
                <w:highlight w:val="none"/>
                <w:lang w:val="en-US" w:eastAsia="zh-CN"/>
              </w:rPr>
            </w:pPr>
            <w:r>
              <w:rPr>
                <w:rFonts w:hint="default" w:ascii="Times New Roman" w:hAnsi="Times New Roman" w:eastAsia="楷体" w:cs="Times New Roman"/>
                <w:color w:val="auto"/>
                <w:sz w:val="21"/>
                <w:highlight w:val="none"/>
                <w:lang w:val="en-US" w:eastAsia="zh-CN"/>
              </w:rPr>
              <w:t>2</w:t>
            </w:r>
          </w:p>
        </w:tc>
        <w:tc>
          <w:tcPr>
            <w:tcW w:w="487" w:type="pct"/>
            <w:vMerge w:val="continue"/>
            <w:tcBorders>
              <w:tl2br w:val="nil"/>
              <w:tr2bl w:val="nil"/>
            </w:tcBorders>
            <w:vAlign w:val="center"/>
          </w:tcPr>
          <w:p w14:paraId="605B65A7">
            <w:pPr>
              <w:jc w:val="center"/>
              <w:rPr>
                <w:rFonts w:hint="default" w:ascii="Times New Roman" w:hAnsi="Times New Roman" w:eastAsia="楷体" w:cs="Times New Roman"/>
                <w:color w:val="auto"/>
                <w:sz w:val="21"/>
                <w:highlight w:val="none"/>
              </w:rPr>
            </w:pPr>
          </w:p>
        </w:tc>
        <w:tc>
          <w:tcPr>
            <w:tcW w:w="1766" w:type="pct"/>
            <w:gridSpan w:val="2"/>
            <w:tcBorders>
              <w:tl2br w:val="nil"/>
              <w:tr2bl w:val="nil"/>
            </w:tcBorders>
            <w:vAlign w:val="center"/>
          </w:tcPr>
          <w:p w14:paraId="44B7B836">
            <w:pPr>
              <w:pStyle w:val="20"/>
              <w:spacing w:before="39" w:line="210" w:lineRule="auto"/>
              <w:jc w:val="center"/>
              <w:rPr>
                <w:rFonts w:hint="default" w:ascii="Times New Roman" w:hAnsi="Times New Roman" w:eastAsia="楷体" w:cs="Times New Roman"/>
                <w:color w:val="auto"/>
                <w:highlight w:val="none"/>
              </w:rPr>
            </w:pPr>
            <w:r>
              <w:rPr>
                <w:rFonts w:hint="default" w:ascii="Times New Roman" w:hAnsi="Times New Roman" w:eastAsia="楷体" w:cs="Times New Roman"/>
                <w:color w:val="auto"/>
                <w:spacing w:val="-1"/>
                <w:highlight w:val="none"/>
                <w:lang w:eastAsia="zh-CN"/>
              </w:rPr>
              <w:t>地级及以上城市空气质量优良天数比率*</w:t>
            </w:r>
            <w:r>
              <w:rPr>
                <w:rFonts w:hint="default" w:ascii="Times New Roman" w:hAnsi="Times New Roman" w:eastAsia="楷体" w:cs="Times New Roman"/>
                <w:color w:val="auto"/>
                <w:spacing w:val="-2"/>
                <w:highlight w:val="none"/>
              </w:rPr>
              <w:t>（%）</w:t>
            </w:r>
          </w:p>
        </w:tc>
        <w:tc>
          <w:tcPr>
            <w:tcW w:w="779" w:type="pct"/>
            <w:tcBorders>
              <w:tl2br w:val="nil"/>
              <w:tr2bl w:val="nil"/>
            </w:tcBorders>
            <w:vAlign w:val="center"/>
          </w:tcPr>
          <w:p w14:paraId="76963BD0">
            <w:pPr>
              <w:spacing w:before="159" w:line="315" w:lineRule="exact"/>
              <w:jc w:val="center"/>
              <w:rPr>
                <w:rFonts w:hint="default" w:ascii="Times New Roman" w:hAnsi="Times New Roman" w:eastAsia="楷体" w:cs="Times New Roman"/>
                <w:color w:val="auto"/>
                <w:sz w:val="24"/>
                <w:szCs w:val="24"/>
                <w:highlight w:val="none"/>
              </w:rPr>
            </w:pPr>
            <w:r>
              <w:rPr>
                <w:rFonts w:hint="default" w:ascii="Times New Roman" w:hAnsi="Times New Roman" w:eastAsia="楷体" w:cs="Times New Roman"/>
                <w:color w:val="auto"/>
                <w:sz w:val="24"/>
                <w:szCs w:val="24"/>
                <w:highlight w:val="none"/>
              </w:rPr>
              <w:t>93.7</w:t>
            </w:r>
          </w:p>
        </w:tc>
        <w:tc>
          <w:tcPr>
            <w:tcW w:w="747" w:type="pct"/>
            <w:tcBorders>
              <w:tl2br w:val="nil"/>
              <w:tr2bl w:val="nil"/>
            </w:tcBorders>
            <w:vAlign w:val="center"/>
          </w:tcPr>
          <w:p w14:paraId="1665C81B">
            <w:pPr>
              <w:pStyle w:val="20"/>
              <w:spacing w:before="39" w:line="205" w:lineRule="auto"/>
              <w:jc w:val="center"/>
              <w:rPr>
                <w:rFonts w:hint="default" w:ascii="Times New Roman" w:hAnsi="Times New Roman" w:eastAsia="楷体" w:cs="Times New Roman"/>
                <w:color w:val="auto"/>
                <w:spacing w:val="-5"/>
                <w:highlight w:val="none"/>
                <w:lang w:eastAsia="zh-CN"/>
              </w:rPr>
            </w:pPr>
            <w:r>
              <w:rPr>
                <w:rFonts w:hint="default" w:ascii="Times New Roman" w:hAnsi="Times New Roman" w:eastAsia="楷体" w:cs="Times New Roman"/>
                <w:color w:val="auto"/>
                <w:spacing w:val="-5"/>
                <w:highlight w:val="none"/>
              </w:rPr>
              <w:t>达到</w:t>
            </w:r>
            <w:r>
              <w:rPr>
                <w:rFonts w:hint="default" w:ascii="Times New Roman" w:hAnsi="Times New Roman" w:eastAsia="楷体" w:cs="Times New Roman"/>
                <w:color w:val="auto"/>
                <w:spacing w:val="-5"/>
                <w:highlight w:val="none"/>
                <w:lang w:eastAsia="zh-CN"/>
              </w:rPr>
              <w:t>省</w:t>
            </w:r>
          </w:p>
          <w:p w14:paraId="4837D428">
            <w:pPr>
              <w:pStyle w:val="20"/>
              <w:spacing w:before="39" w:line="205" w:lineRule="auto"/>
              <w:jc w:val="center"/>
              <w:rPr>
                <w:rFonts w:hint="default" w:ascii="Times New Roman" w:hAnsi="Times New Roman" w:eastAsia="楷体" w:cs="Times New Roman"/>
                <w:color w:val="auto"/>
                <w:highlight w:val="none"/>
              </w:rPr>
            </w:pPr>
            <w:r>
              <w:rPr>
                <w:rFonts w:hint="default" w:ascii="Times New Roman" w:hAnsi="Times New Roman" w:eastAsia="楷体" w:cs="Times New Roman"/>
                <w:color w:val="auto"/>
                <w:spacing w:val="-5"/>
                <w:highlight w:val="none"/>
              </w:rPr>
              <w:t>下达目标</w:t>
            </w:r>
          </w:p>
        </w:tc>
        <w:tc>
          <w:tcPr>
            <w:tcW w:w="734" w:type="pct"/>
            <w:tcBorders>
              <w:tl2br w:val="nil"/>
              <w:tr2bl w:val="nil"/>
            </w:tcBorders>
            <w:vAlign w:val="center"/>
          </w:tcPr>
          <w:p w14:paraId="320B71DD">
            <w:pPr>
              <w:pStyle w:val="20"/>
              <w:spacing w:before="195" w:line="216" w:lineRule="auto"/>
              <w:jc w:val="center"/>
              <w:rPr>
                <w:rFonts w:hint="default" w:ascii="Times New Roman" w:hAnsi="Times New Roman" w:eastAsia="楷体" w:cs="Times New Roman"/>
                <w:color w:val="auto"/>
                <w:highlight w:val="none"/>
              </w:rPr>
            </w:pPr>
            <w:r>
              <w:rPr>
                <w:rFonts w:hint="default" w:ascii="Times New Roman" w:hAnsi="Times New Roman" w:eastAsia="楷体" w:cs="Times New Roman"/>
                <w:color w:val="auto"/>
                <w:spacing w:val="-1"/>
                <w:highlight w:val="none"/>
              </w:rPr>
              <w:t>预期性</w:t>
            </w:r>
          </w:p>
        </w:tc>
      </w:tr>
      <w:tr w14:paraId="105474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6" w:hRule="atLeast"/>
        </w:trPr>
        <w:tc>
          <w:tcPr>
            <w:tcW w:w="485" w:type="pct"/>
            <w:tcBorders>
              <w:tl2br w:val="nil"/>
              <w:tr2bl w:val="nil"/>
            </w:tcBorders>
            <w:vAlign w:val="center"/>
          </w:tcPr>
          <w:p w14:paraId="30B9C7F3">
            <w:pPr>
              <w:jc w:val="center"/>
              <w:rPr>
                <w:rFonts w:hint="default" w:ascii="Times New Roman" w:hAnsi="Times New Roman" w:eastAsia="楷体" w:cs="Times New Roman"/>
                <w:color w:val="auto"/>
                <w:sz w:val="21"/>
                <w:highlight w:val="none"/>
                <w:lang w:val="en-US" w:eastAsia="zh-CN"/>
              </w:rPr>
            </w:pPr>
            <w:r>
              <w:rPr>
                <w:rFonts w:hint="default" w:ascii="Times New Roman" w:hAnsi="Times New Roman" w:eastAsia="楷体" w:cs="Times New Roman"/>
                <w:color w:val="auto"/>
                <w:sz w:val="21"/>
                <w:highlight w:val="none"/>
                <w:lang w:val="en-US" w:eastAsia="zh-CN"/>
              </w:rPr>
              <w:t>3</w:t>
            </w:r>
          </w:p>
        </w:tc>
        <w:tc>
          <w:tcPr>
            <w:tcW w:w="487" w:type="pct"/>
            <w:vMerge w:val="continue"/>
            <w:tcBorders>
              <w:tl2br w:val="nil"/>
              <w:tr2bl w:val="nil"/>
            </w:tcBorders>
            <w:vAlign w:val="center"/>
          </w:tcPr>
          <w:p w14:paraId="64382373">
            <w:pPr>
              <w:jc w:val="center"/>
              <w:rPr>
                <w:rFonts w:hint="default" w:ascii="Times New Roman" w:hAnsi="Times New Roman" w:eastAsia="楷体" w:cs="Times New Roman"/>
                <w:color w:val="auto"/>
                <w:sz w:val="21"/>
                <w:highlight w:val="none"/>
              </w:rPr>
            </w:pPr>
          </w:p>
        </w:tc>
        <w:tc>
          <w:tcPr>
            <w:tcW w:w="1766" w:type="pct"/>
            <w:gridSpan w:val="2"/>
            <w:tcBorders>
              <w:tl2br w:val="nil"/>
              <w:tr2bl w:val="nil"/>
            </w:tcBorders>
            <w:vAlign w:val="center"/>
          </w:tcPr>
          <w:p w14:paraId="0CFD1287">
            <w:pPr>
              <w:pStyle w:val="20"/>
              <w:spacing w:before="1" w:line="231" w:lineRule="auto"/>
              <w:jc w:val="both"/>
              <w:rPr>
                <w:rFonts w:hint="default" w:ascii="Times New Roman" w:hAnsi="Times New Roman" w:eastAsia="楷体" w:cs="Times New Roman"/>
                <w:color w:val="auto"/>
                <w:highlight w:val="none"/>
              </w:rPr>
            </w:pPr>
            <w:bookmarkStart w:id="1" w:name="OLE_LINK10"/>
            <w:bookmarkStart w:id="2" w:name="OLE_LINK8"/>
            <w:r>
              <w:rPr>
                <w:rFonts w:hint="eastAsia" w:ascii="Times New Roman" w:hAnsi="Times New Roman" w:eastAsia="楷体_GB2312" w:cs="宋体"/>
                <w:bCs/>
                <w:color w:val="auto"/>
                <w:kern w:val="0"/>
                <w:sz w:val="24"/>
                <w:highlight w:val="none"/>
                <w:lang w:bidi="ar-SA"/>
              </w:rPr>
              <w:t>地级及以上城市重度及以上污染天数比例（%）</w:t>
            </w:r>
            <w:bookmarkEnd w:id="1"/>
            <w:bookmarkEnd w:id="2"/>
            <w:r>
              <w:rPr>
                <w:rFonts w:hint="eastAsia" w:ascii="Times New Roman" w:hAnsi="Times New Roman" w:eastAsia="楷体_GB2312" w:cs="宋体"/>
                <w:bCs/>
                <w:color w:val="auto"/>
                <w:kern w:val="0"/>
                <w:sz w:val="24"/>
                <w:highlight w:val="none"/>
                <w:lang w:bidi="ar-SA"/>
              </w:rPr>
              <w:t>（扣除沙尘）</w:t>
            </w:r>
          </w:p>
        </w:tc>
        <w:tc>
          <w:tcPr>
            <w:tcW w:w="779" w:type="pct"/>
            <w:tcBorders>
              <w:tl2br w:val="nil"/>
              <w:tr2bl w:val="nil"/>
            </w:tcBorders>
            <w:vAlign w:val="center"/>
          </w:tcPr>
          <w:p w14:paraId="199C690C">
            <w:pPr>
              <w:spacing w:before="158" w:line="315" w:lineRule="exact"/>
              <w:jc w:val="center"/>
              <w:rPr>
                <w:rFonts w:hint="default" w:ascii="Times New Roman" w:hAnsi="Times New Roman" w:eastAsia="楷体" w:cs="Times New Roman"/>
                <w:color w:val="auto"/>
                <w:sz w:val="24"/>
                <w:szCs w:val="24"/>
                <w:highlight w:val="none"/>
              </w:rPr>
            </w:pPr>
            <w:r>
              <w:rPr>
                <w:rFonts w:hint="default" w:ascii="Times New Roman" w:hAnsi="Times New Roman" w:eastAsia="楷体" w:cs="Times New Roman"/>
                <w:color w:val="auto"/>
                <w:spacing w:val="2"/>
                <w:position w:val="-2"/>
                <w:sz w:val="24"/>
                <w:szCs w:val="24"/>
                <w:highlight w:val="none"/>
              </w:rPr>
              <w:t>——</w:t>
            </w:r>
          </w:p>
        </w:tc>
        <w:tc>
          <w:tcPr>
            <w:tcW w:w="747" w:type="pct"/>
            <w:tcBorders>
              <w:tl2br w:val="nil"/>
              <w:tr2bl w:val="nil"/>
            </w:tcBorders>
            <w:vAlign w:val="center"/>
          </w:tcPr>
          <w:p w14:paraId="325F08E6">
            <w:pPr>
              <w:pStyle w:val="20"/>
              <w:spacing w:before="40" w:line="204" w:lineRule="auto"/>
              <w:jc w:val="center"/>
              <w:rPr>
                <w:rFonts w:hint="default" w:ascii="Times New Roman" w:hAnsi="Times New Roman" w:eastAsia="楷体" w:cs="Times New Roman"/>
                <w:color w:val="auto"/>
                <w:spacing w:val="-5"/>
                <w:highlight w:val="none"/>
              </w:rPr>
            </w:pPr>
            <w:r>
              <w:rPr>
                <w:rFonts w:hint="default" w:ascii="Times New Roman" w:hAnsi="Times New Roman" w:eastAsia="楷体" w:cs="Times New Roman"/>
                <w:color w:val="auto"/>
                <w:spacing w:val="-5"/>
                <w:highlight w:val="none"/>
              </w:rPr>
              <w:t>达到</w:t>
            </w:r>
            <w:r>
              <w:rPr>
                <w:rFonts w:hint="default" w:ascii="Times New Roman" w:hAnsi="Times New Roman" w:eastAsia="楷体" w:cs="Times New Roman"/>
                <w:color w:val="auto"/>
                <w:spacing w:val="-5"/>
                <w:highlight w:val="none"/>
                <w:lang w:eastAsia="zh-CN"/>
              </w:rPr>
              <w:t>省</w:t>
            </w:r>
            <w:r>
              <w:rPr>
                <w:rFonts w:hint="default" w:ascii="Times New Roman" w:hAnsi="Times New Roman" w:eastAsia="楷体" w:cs="Times New Roman"/>
                <w:color w:val="auto"/>
                <w:spacing w:val="-5"/>
                <w:highlight w:val="none"/>
              </w:rPr>
              <w:t>下</w:t>
            </w:r>
          </w:p>
          <w:p w14:paraId="7F3B9954">
            <w:pPr>
              <w:pStyle w:val="20"/>
              <w:spacing w:before="40" w:line="204" w:lineRule="auto"/>
              <w:jc w:val="center"/>
              <w:rPr>
                <w:rFonts w:hint="default" w:ascii="Times New Roman" w:hAnsi="Times New Roman" w:eastAsia="楷体" w:cs="Times New Roman"/>
                <w:color w:val="auto"/>
                <w:highlight w:val="none"/>
              </w:rPr>
            </w:pPr>
            <w:r>
              <w:rPr>
                <w:rFonts w:hint="default" w:ascii="Times New Roman" w:hAnsi="Times New Roman" w:eastAsia="楷体" w:cs="Times New Roman"/>
                <w:color w:val="auto"/>
                <w:spacing w:val="-5"/>
                <w:highlight w:val="none"/>
              </w:rPr>
              <w:t>达目标</w:t>
            </w:r>
          </w:p>
        </w:tc>
        <w:tc>
          <w:tcPr>
            <w:tcW w:w="734" w:type="pct"/>
            <w:tcBorders>
              <w:tl2br w:val="nil"/>
              <w:tr2bl w:val="nil"/>
            </w:tcBorders>
            <w:vAlign w:val="center"/>
          </w:tcPr>
          <w:p w14:paraId="2699CA7E">
            <w:pPr>
              <w:pStyle w:val="20"/>
              <w:spacing w:before="194" w:line="216" w:lineRule="auto"/>
              <w:jc w:val="center"/>
              <w:rPr>
                <w:rFonts w:hint="default" w:ascii="Times New Roman" w:hAnsi="Times New Roman" w:eastAsia="楷体" w:cs="Times New Roman"/>
                <w:color w:val="auto"/>
                <w:highlight w:val="none"/>
              </w:rPr>
            </w:pPr>
            <w:r>
              <w:rPr>
                <w:rFonts w:hint="default" w:ascii="Times New Roman" w:hAnsi="Times New Roman" w:eastAsia="楷体" w:cs="Times New Roman"/>
                <w:color w:val="auto"/>
                <w:spacing w:val="-1"/>
                <w:highlight w:val="none"/>
              </w:rPr>
              <w:t>预期性</w:t>
            </w:r>
          </w:p>
        </w:tc>
      </w:tr>
      <w:tr w14:paraId="128454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485" w:type="pct"/>
            <w:tcBorders>
              <w:tl2br w:val="nil"/>
              <w:tr2bl w:val="nil"/>
            </w:tcBorders>
            <w:vAlign w:val="center"/>
          </w:tcPr>
          <w:p w14:paraId="7600DC94">
            <w:pPr>
              <w:jc w:val="center"/>
              <w:rPr>
                <w:rFonts w:hint="default" w:ascii="Times New Roman" w:hAnsi="Times New Roman" w:eastAsia="楷体" w:cs="Times New Roman"/>
                <w:color w:val="auto"/>
                <w:sz w:val="21"/>
                <w:highlight w:val="none"/>
                <w:lang w:val="en-US" w:eastAsia="zh-CN"/>
              </w:rPr>
            </w:pPr>
            <w:r>
              <w:rPr>
                <w:rFonts w:hint="default" w:ascii="Times New Roman" w:hAnsi="Times New Roman" w:eastAsia="楷体" w:cs="Times New Roman"/>
                <w:color w:val="auto"/>
                <w:sz w:val="21"/>
                <w:highlight w:val="none"/>
                <w:lang w:val="en-US" w:eastAsia="zh-CN"/>
              </w:rPr>
              <w:t>4</w:t>
            </w:r>
          </w:p>
        </w:tc>
        <w:tc>
          <w:tcPr>
            <w:tcW w:w="487" w:type="pct"/>
            <w:vMerge w:val="continue"/>
            <w:tcBorders>
              <w:tl2br w:val="nil"/>
              <w:tr2bl w:val="nil"/>
            </w:tcBorders>
            <w:vAlign w:val="center"/>
          </w:tcPr>
          <w:p w14:paraId="5938D342">
            <w:pPr>
              <w:jc w:val="center"/>
              <w:rPr>
                <w:rFonts w:hint="default" w:ascii="Times New Roman" w:hAnsi="Times New Roman" w:eastAsia="楷体" w:cs="Times New Roman"/>
                <w:color w:val="auto"/>
                <w:sz w:val="21"/>
                <w:highlight w:val="none"/>
              </w:rPr>
            </w:pPr>
          </w:p>
        </w:tc>
        <w:tc>
          <w:tcPr>
            <w:tcW w:w="1766" w:type="pct"/>
            <w:gridSpan w:val="2"/>
            <w:tcBorders>
              <w:tl2br w:val="nil"/>
              <w:tr2bl w:val="nil"/>
            </w:tcBorders>
            <w:vAlign w:val="center"/>
          </w:tcPr>
          <w:p w14:paraId="260E5B65">
            <w:pPr>
              <w:pStyle w:val="20"/>
              <w:spacing w:before="192" w:line="218" w:lineRule="auto"/>
              <w:jc w:val="center"/>
              <w:rPr>
                <w:rFonts w:hint="default" w:ascii="Times New Roman" w:hAnsi="Times New Roman" w:eastAsia="楷体" w:cs="Times New Roman"/>
                <w:color w:val="auto"/>
                <w:highlight w:val="none"/>
              </w:rPr>
            </w:pPr>
            <w:r>
              <w:rPr>
                <w:rFonts w:hint="default" w:ascii="Times New Roman" w:hAnsi="Times New Roman" w:eastAsia="楷体" w:cs="Times New Roman"/>
                <w:b/>
                <w:bCs/>
                <w:color w:val="auto"/>
                <w:spacing w:val="-5"/>
                <w:highlight w:val="none"/>
              </w:rPr>
              <w:t>优良水体比例*（%）</w:t>
            </w:r>
          </w:p>
        </w:tc>
        <w:tc>
          <w:tcPr>
            <w:tcW w:w="779" w:type="pct"/>
            <w:tcBorders>
              <w:tl2br w:val="nil"/>
              <w:tr2bl w:val="nil"/>
            </w:tcBorders>
            <w:vAlign w:val="center"/>
          </w:tcPr>
          <w:p w14:paraId="309B908E">
            <w:pPr>
              <w:spacing w:before="183" w:line="115" w:lineRule="exact"/>
              <w:jc w:val="center"/>
              <w:rPr>
                <w:rFonts w:hint="default" w:ascii="Times New Roman" w:hAnsi="Times New Roman" w:eastAsia="楷体" w:cs="Times New Roman"/>
                <w:color w:val="auto"/>
                <w:sz w:val="24"/>
                <w:szCs w:val="24"/>
                <w:highlight w:val="none"/>
              </w:rPr>
            </w:pPr>
            <w:r>
              <w:rPr>
                <w:rFonts w:hint="default" w:ascii="Times New Roman" w:hAnsi="Times New Roman" w:eastAsia="楷体" w:cs="Times New Roman"/>
                <w:color w:val="auto"/>
                <w:spacing w:val="2"/>
                <w:position w:val="-2"/>
                <w:sz w:val="24"/>
                <w:szCs w:val="24"/>
                <w:highlight w:val="none"/>
              </w:rPr>
              <w:t>——</w:t>
            </w:r>
          </w:p>
        </w:tc>
        <w:tc>
          <w:tcPr>
            <w:tcW w:w="747" w:type="pct"/>
            <w:tcBorders>
              <w:tl2br w:val="nil"/>
              <w:tr2bl w:val="nil"/>
            </w:tcBorders>
            <w:vAlign w:val="center"/>
          </w:tcPr>
          <w:p w14:paraId="48555204">
            <w:pPr>
              <w:pStyle w:val="20"/>
              <w:spacing w:before="36" w:line="218" w:lineRule="auto"/>
              <w:jc w:val="center"/>
              <w:rPr>
                <w:rFonts w:hint="default" w:ascii="Times New Roman" w:hAnsi="Times New Roman" w:eastAsia="楷体" w:cs="Times New Roman"/>
                <w:color w:val="auto"/>
                <w:spacing w:val="-5"/>
                <w:highlight w:val="none"/>
                <w:lang w:eastAsia="zh-CN"/>
              </w:rPr>
            </w:pPr>
            <w:r>
              <w:rPr>
                <w:rFonts w:hint="default" w:ascii="Times New Roman" w:hAnsi="Times New Roman" w:eastAsia="楷体" w:cs="Times New Roman"/>
                <w:color w:val="auto"/>
                <w:spacing w:val="-5"/>
                <w:highlight w:val="none"/>
              </w:rPr>
              <w:t>达到</w:t>
            </w:r>
            <w:r>
              <w:rPr>
                <w:rFonts w:hint="default" w:ascii="Times New Roman" w:hAnsi="Times New Roman" w:eastAsia="楷体" w:cs="Times New Roman"/>
                <w:color w:val="auto"/>
                <w:spacing w:val="-5"/>
                <w:highlight w:val="none"/>
                <w:lang w:eastAsia="zh-CN"/>
              </w:rPr>
              <w:t>省</w:t>
            </w:r>
          </w:p>
          <w:p w14:paraId="5563F1FF">
            <w:pPr>
              <w:pStyle w:val="20"/>
              <w:spacing w:before="36" w:line="218" w:lineRule="auto"/>
              <w:jc w:val="center"/>
              <w:rPr>
                <w:rFonts w:hint="default" w:ascii="Times New Roman" w:hAnsi="Times New Roman" w:eastAsia="楷体" w:cs="Times New Roman"/>
                <w:color w:val="auto"/>
                <w:highlight w:val="none"/>
                <w:lang w:eastAsia="zh-CN"/>
              </w:rPr>
            </w:pPr>
            <w:r>
              <w:rPr>
                <w:rFonts w:hint="default" w:ascii="Times New Roman" w:hAnsi="Times New Roman" w:eastAsia="楷体" w:cs="Times New Roman"/>
                <w:color w:val="auto"/>
                <w:spacing w:val="-5"/>
                <w:highlight w:val="none"/>
              </w:rPr>
              <w:t>下达目标</w:t>
            </w:r>
          </w:p>
        </w:tc>
        <w:tc>
          <w:tcPr>
            <w:tcW w:w="734" w:type="pct"/>
            <w:tcBorders>
              <w:tl2br w:val="nil"/>
              <w:tr2bl w:val="nil"/>
            </w:tcBorders>
            <w:vAlign w:val="center"/>
          </w:tcPr>
          <w:p w14:paraId="6C866723">
            <w:pPr>
              <w:pStyle w:val="20"/>
              <w:spacing w:before="193" w:line="214" w:lineRule="auto"/>
              <w:jc w:val="center"/>
              <w:rPr>
                <w:rFonts w:hint="default" w:ascii="Times New Roman" w:hAnsi="Times New Roman" w:eastAsia="楷体" w:cs="Times New Roman"/>
                <w:color w:val="auto"/>
                <w:highlight w:val="none"/>
              </w:rPr>
            </w:pPr>
            <w:r>
              <w:rPr>
                <w:rFonts w:hint="default" w:ascii="Times New Roman" w:hAnsi="Times New Roman" w:eastAsia="楷体" w:cs="Times New Roman"/>
                <w:b/>
                <w:bCs/>
                <w:color w:val="auto"/>
                <w:spacing w:val="-8"/>
                <w:highlight w:val="none"/>
              </w:rPr>
              <w:t>约束性</w:t>
            </w:r>
          </w:p>
        </w:tc>
      </w:tr>
      <w:tr w14:paraId="67F594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485" w:type="pct"/>
            <w:tcBorders>
              <w:tl2br w:val="nil"/>
              <w:tr2bl w:val="nil"/>
            </w:tcBorders>
            <w:vAlign w:val="center"/>
          </w:tcPr>
          <w:p w14:paraId="2E5403A5">
            <w:pPr>
              <w:pStyle w:val="20"/>
              <w:spacing w:before="78" w:line="241" w:lineRule="auto"/>
              <w:ind w:left="165" w:right="155"/>
              <w:jc w:val="center"/>
              <w:rPr>
                <w:rFonts w:hint="default" w:ascii="Times New Roman" w:hAnsi="Times New Roman" w:eastAsia="楷体" w:cs="Times New Roman"/>
                <w:color w:val="auto"/>
                <w:spacing w:val="-4"/>
                <w:highlight w:val="none"/>
                <w:lang w:val="en-US" w:eastAsia="zh-CN"/>
              </w:rPr>
            </w:pPr>
            <w:r>
              <w:rPr>
                <w:rFonts w:hint="default" w:ascii="Times New Roman" w:hAnsi="Times New Roman" w:eastAsia="楷体" w:cs="Times New Roman"/>
                <w:color w:val="auto"/>
                <w:spacing w:val="-4"/>
                <w:highlight w:val="none"/>
                <w:lang w:val="en-US" w:eastAsia="zh-CN"/>
              </w:rPr>
              <w:t>5</w:t>
            </w:r>
          </w:p>
        </w:tc>
        <w:tc>
          <w:tcPr>
            <w:tcW w:w="487" w:type="pct"/>
            <w:vMerge w:val="restart"/>
            <w:tcBorders>
              <w:tl2br w:val="nil"/>
              <w:tr2bl w:val="nil"/>
            </w:tcBorders>
            <w:vAlign w:val="center"/>
          </w:tcPr>
          <w:p w14:paraId="264D2234">
            <w:pPr>
              <w:pStyle w:val="20"/>
              <w:spacing w:before="78" w:line="241" w:lineRule="auto"/>
              <w:ind w:left="165" w:right="155"/>
              <w:jc w:val="center"/>
              <w:rPr>
                <w:rFonts w:hint="default" w:ascii="Times New Roman" w:hAnsi="Times New Roman" w:eastAsia="楷体" w:cs="Times New Roman"/>
                <w:color w:val="auto"/>
                <w:sz w:val="21"/>
                <w:highlight w:val="none"/>
              </w:rPr>
            </w:pPr>
            <w:r>
              <w:rPr>
                <w:rFonts w:hint="default" w:ascii="Times New Roman" w:hAnsi="Times New Roman" w:eastAsia="楷体" w:cs="Times New Roman"/>
                <w:color w:val="auto"/>
                <w:spacing w:val="-4"/>
                <w:highlight w:val="none"/>
              </w:rPr>
              <w:t>环境质量改善</w:t>
            </w:r>
          </w:p>
        </w:tc>
        <w:tc>
          <w:tcPr>
            <w:tcW w:w="1766" w:type="pct"/>
            <w:gridSpan w:val="2"/>
            <w:tcBorders>
              <w:tl2br w:val="nil"/>
              <w:tr2bl w:val="nil"/>
            </w:tcBorders>
            <w:vAlign w:val="center"/>
          </w:tcPr>
          <w:p w14:paraId="0570895E">
            <w:pPr>
              <w:pStyle w:val="20"/>
              <w:spacing w:before="155" w:line="359" w:lineRule="exact"/>
              <w:jc w:val="center"/>
              <w:rPr>
                <w:rFonts w:hint="default" w:ascii="Times New Roman" w:hAnsi="Times New Roman" w:eastAsia="楷体" w:cs="Times New Roman"/>
                <w:b/>
                <w:bCs/>
                <w:snapToGrid w:val="0"/>
                <w:color w:val="auto"/>
                <w:spacing w:val="-5"/>
                <w:sz w:val="24"/>
                <w:szCs w:val="24"/>
                <w:highlight w:val="none"/>
                <w:lang w:val="en-US" w:eastAsia="en-US" w:bidi="ar-SA"/>
              </w:rPr>
            </w:pPr>
            <w:r>
              <w:rPr>
                <w:rFonts w:hint="eastAsia" w:ascii="Times New Roman" w:hAnsi="Times New Roman" w:eastAsia="楷体" w:cs="Times New Roman"/>
                <w:color w:val="auto"/>
                <w:spacing w:val="-1"/>
                <w:position w:val="2"/>
                <w:highlight w:val="none"/>
                <w:lang w:val="en-US" w:eastAsia="en-US"/>
              </w:rPr>
              <w:t>地表水达到或好于</w:t>
            </w:r>
            <w:bookmarkStart w:id="3" w:name="OLE_LINK7"/>
            <w:bookmarkStart w:id="4" w:name="OLE_LINK6"/>
            <w:r>
              <w:rPr>
                <w:rFonts w:hint="eastAsia" w:ascii="Times New Roman" w:hAnsi="Times New Roman" w:eastAsia="楷体" w:cs="Times New Roman"/>
                <w:color w:val="auto"/>
                <w:spacing w:val="-1"/>
                <w:position w:val="2"/>
                <w:highlight w:val="none"/>
                <w:lang w:val="en-US" w:eastAsia="en-US"/>
              </w:rPr>
              <w:t>Ⅲ</w:t>
            </w:r>
            <w:bookmarkEnd w:id="3"/>
            <w:bookmarkEnd w:id="4"/>
            <w:r>
              <w:rPr>
                <w:rFonts w:hint="eastAsia" w:ascii="Times New Roman" w:hAnsi="Times New Roman" w:eastAsia="楷体" w:cs="Times New Roman"/>
                <w:color w:val="auto"/>
                <w:spacing w:val="-1"/>
                <w:position w:val="2"/>
                <w:highlight w:val="none"/>
                <w:lang w:val="en-US" w:eastAsia="en-US"/>
              </w:rPr>
              <w:t>类水质比例</w:t>
            </w:r>
            <w:r>
              <w:rPr>
                <w:rFonts w:hint="default" w:ascii="Times New Roman" w:hAnsi="Times New Roman" w:eastAsia="楷体" w:cs="Times New Roman"/>
                <w:color w:val="auto"/>
                <w:spacing w:val="-1"/>
                <w:position w:val="2"/>
                <w:highlight w:val="none"/>
                <w:lang w:val="en-US" w:eastAsia="en-US"/>
              </w:rPr>
              <w:t>*</w:t>
            </w:r>
            <w:r>
              <w:rPr>
                <w:rFonts w:hint="eastAsia" w:ascii="Times New Roman" w:hAnsi="Times New Roman" w:eastAsia="楷体" w:cs="Times New Roman"/>
                <w:color w:val="auto"/>
                <w:spacing w:val="-1"/>
                <w:position w:val="2"/>
                <w:highlight w:val="none"/>
                <w:lang w:val="en-US" w:eastAsia="en-US"/>
              </w:rPr>
              <w:t>（%）</w:t>
            </w:r>
          </w:p>
        </w:tc>
        <w:tc>
          <w:tcPr>
            <w:tcW w:w="779" w:type="pct"/>
            <w:tcBorders>
              <w:tl2br w:val="nil"/>
              <w:tr2bl w:val="nil"/>
            </w:tcBorders>
            <w:vAlign w:val="center"/>
          </w:tcPr>
          <w:p w14:paraId="02B34C2C">
            <w:pPr>
              <w:spacing w:before="69" w:line="115" w:lineRule="exact"/>
              <w:jc w:val="center"/>
              <w:rPr>
                <w:rFonts w:hint="default" w:ascii="Times New Roman" w:hAnsi="Times New Roman" w:eastAsia="楷体" w:cs="Times New Roman"/>
                <w:color w:val="auto"/>
                <w:sz w:val="24"/>
                <w:szCs w:val="24"/>
                <w:highlight w:val="none"/>
              </w:rPr>
            </w:pPr>
            <w:r>
              <w:rPr>
                <w:rFonts w:hint="default" w:ascii="Times New Roman" w:hAnsi="Times New Roman" w:eastAsia="楷体" w:cs="Times New Roman"/>
                <w:color w:val="auto"/>
                <w:spacing w:val="2"/>
                <w:position w:val="-2"/>
                <w:sz w:val="24"/>
                <w:szCs w:val="24"/>
                <w:highlight w:val="none"/>
              </w:rPr>
              <w:t>——</w:t>
            </w:r>
          </w:p>
        </w:tc>
        <w:tc>
          <w:tcPr>
            <w:tcW w:w="747" w:type="pct"/>
            <w:tcBorders>
              <w:tl2br w:val="nil"/>
              <w:tr2bl w:val="nil"/>
            </w:tcBorders>
            <w:vAlign w:val="center"/>
          </w:tcPr>
          <w:p w14:paraId="3C762623">
            <w:pPr>
              <w:pStyle w:val="20"/>
              <w:spacing w:before="39" w:line="205" w:lineRule="auto"/>
              <w:jc w:val="center"/>
              <w:rPr>
                <w:rFonts w:hint="default" w:ascii="Times New Roman" w:hAnsi="Times New Roman" w:eastAsia="楷体" w:cs="Times New Roman"/>
                <w:color w:val="auto"/>
                <w:spacing w:val="-5"/>
                <w:highlight w:val="none"/>
                <w:lang w:eastAsia="zh-CN"/>
              </w:rPr>
            </w:pPr>
            <w:r>
              <w:rPr>
                <w:rFonts w:hint="default" w:ascii="Times New Roman" w:hAnsi="Times New Roman" w:eastAsia="楷体" w:cs="Times New Roman"/>
                <w:color w:val="auto"/>
                <w:spacing w:val="-5"/>
                <w:highlight w:val="none"/>
              </w:rPr>
              <w:t>达到</w:t>
            </w:r>
            <w:r>
              <w:rPr>
                <w:rFonts w:hint="default" w:ascii="Times New Roman" w:hAnsi="Times New Roman" w:eastAsia="楷体" w:cs="Times New Roman"/>
                <w:color w:val="auto"/>
                <w:spacing w:val="-5"/>
                <w:highlight w:val="none"/>
                <w:lang w:eastAsia="zh-CN"/>
              </w:rPr>
              <w:t>省</w:t>
            </w:r>
          </w:p>
          <w:p w14:paraId="70B0675F">
            <w:pPr>
              <w:pStyle w:val="20"/>
              <w:spacing w:before="39" w:line="205" w:lineRule="auto"/>
              <w:jc w:val="center"/>
              <w:rPr>
                <w:rFonts w:hint="default" w:ascii="Times New Roman" w:hAnsi="Times New Roman" w:eastAsia="楷体" w:cs="Times New Roman"/>
                <w:color w:val="auto"/>
                <w:highlight w:val="none"/>
              </w:rPr>
            </w:pPr>
            <w:r>
              <w:rPr>
                <w:rFonts w:hint="default" w:ascii="Times New Roman" w:hAnsi="Times New Roman" w:eastAsia="楷体" w:cs="Times New Roman"/>
                <w:color w:val="auto"/>
                <w:spacing w:val="-5"/>
                <w:highlight w:val="none"/>
              </w:rPr>
              <w:t>下达目标</w:t>
            </w:r>
          </w:p>
        </w:tc>
        <w:tc>
          <w:tcPr>
            <w:tcW w:w="734" w:type="pct"/>
            <w:tcBorders>
              <w:tl2br w:val="nil"/>
              <w:tr2bl w:val="nil"/>
            </w:tcBorders>
            <w:vAlign w:val="center"/>
          </w:tcPr>
          <w:p w14:paraId="4C745FD9">
            <w:pPr>
              <w:pStyle w:val="20"/>
              <w:spacing w:before="192" w:line="216" w:lineRule="auto"/>
              <w:jc w:val="center"/>
              <w:rPr>
                <w:rFonts w:hint="default" w:ascii="Times New Roman" w:hAnsi="Times New Roman" w:eastAsia="楷体" w:cs="Times New Roman"/>
                <w:color w:val="auto"/>
                <w:highlight w:val="none"/>
              </w:rPr>
            </w:pPr>
            <w:r>
              <w:rPr>
                <w:rFonts w:hint="default" w:ascii="Times New Roman" w:hAnsi="Times New Roman" w:eastAsia="楷体" w:cs="Times New Roman"/>
                <w:color w:val="auto"/>
                <w:spacing w:val="-1"/>
                <w:highlight w:val="none"/>
              </w:rPr>
              <w:t>预期性</w:t>
            </w:r>
          </w:p>
        </w:tc>
      </w:tr>
      <w:tr w14:paraId="019340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485" w:type="pct"/>
            <w:tcBorders>
              <w:tl2br w:val="nil"/>
              <w:tr2bl w:val="nil"/>
            </w:tcBorders>
            <w:vAlign w:val="center"/>
          </w:tcPr>
          <w:p w14:paraId="407ADF93">
            <w:pPr>
              <w:jc w:val="center"/>
              <w:rPr>
                <w:rFonts w:hint="default" w:ascii="Times New Roman" w:hAnsi="Times New Roman" w:eastAsia="楷体" w:cs="Times New Roman"/>
                <w:color w:val="auto"/>
                <w:sz w:val="21"/>
                <w:highlight w:val="none"/>
                <w:lang w:val="en-US" w:eastAsia="zh-CN"/>
              </w:rPr>
            </w:pPr>
            <w:r>
              <w:rPr>
                <w:rFonts w:hint="default" w:ascii="Times New Roman" w:hAnsi="Times New Roman" w:eastAsia="楷体" w:cs="Times New Roman"/>
                <w:color w:val="auto"/>
                <w:sz w:val="21"/>
                <w:highlight w:val="none"/>
                <w:lang w:val="en-US" w:eastAsia="zh-CN"/>
              </w:rPr>
              <w:t>6</w:t>
            </w:r>
          </w:p>
        </w:tc>
        <w:tc>
          <w:tcPr>
            <w:tcW w:w="487" w:type="pct"/>
            <w:vMerge w:val="continue"/>
            <w:tcBorders>
              <w:tl2br w:val="nil"/>
              <w:tr2bl w:val="nil"/>
            </w:tcBorders>
            <w:vAlign w:val="center"/>
          </w:tcPr>
          <w:p w14:paraId="16206F37">
            <w:pPr>
              <w:jc w:val="center"/>
              <w:rPr>
                <w:rFonts w:hint="default" w:ascii="Times New Roman" w:hAnsi="Times New Roman" w:eastAsia="楷体" w:cs="Times New Roman"/>
                <w:color w:val="auto"/>
                <w:sz w:val="21"/>
                <w:highlight w:val="none"/>
              </w:rPr>
            </w:pPr>
          </w:p>
        </w:tc>
        <w:tc>
          <w:tcPr>
            <w:tcW w:w="1766" w:type="pct"/>
            <w:gridSpan w:val="2"/>
            <w:tcBorders>
              <w:tl2br w:val="nil"/>
              <w:tr2bl w:val="nil"/>
            </w:tcBorders>
            <w:vAlign w:val="center"/>
          </w:tcPr>
          <w:p w14:paraId="5C38D0FE">
            <w:pPr>
              <w:pStyle w:val="20"/>
              <w:spacing w:before="155" w:line="359" w:lineRule="exact"/>
              <w:jc w:val="center"/>
              <w:rPr>
                <w:rFonts w:hint="default" w:ascii="Times New Roman" w:hAnsi="Times New Roman" w:eastAsia="楷体" w:cs="Times New Roman"/>
                <w:color w:val="auto"/>
                <w:highlight w:val="none"/>
                <w:lang w:eastAsia="zh-CN"/>
              </w:rPr>
            </w:pPr>
            <w:r>
              <w:rPr>
                <w:rFonts w:hint="default" w:ascii="Times New Roman" w:hAnsi="Times New Roman" w:eastAsia="楷体" w:cs="Times New Roman"/>
                <w:color w:val="auto"/>
                <w:spacing w:val="-1"/>
                <w:position w:val="2"/>
                <w:highlight w:val="none"/>
                <w:lang w:eastAsia="zh-CN"/>
              </w:rPr>
              <w:t>地下水优良水质比例*（%）</w:t>
            </w:r>
          </w:p>
        </w:tc>
        <w:tc>
          <w:tcPr>
            <w:tcW w:w="779" w:type="pct"/>
            <w:tcBorders>
              <w:tl2br w:val="nil"/>
              <w:tr2bl w:val="nil"/>
            </w:tcBorders>
            <w:vAlign w:val="center"/>
          </w:tcPr>
          <w:p w14:paraId="78942389">
            <w:pPr>
              <w:spacing w:before="155" w:line="315" w:lineRule="exact"/>
              <w:jc w:val="center"/>
              <w:rPr>
                <w:rFonts w:hint="default" w:ascii="Times New Roman" w:hAnsi="Times New Roman" w:eastAsia="楷体" w:cs="Times New Roman"/>
                <w:color w:val="auto"/>
                <w:sz w:val="24"/>
                <w:szCs w:val="24"/>
                <w:highlight w:val="none"/>
              </w:rPr>
            </w:pPr>
            <w:r>
              <w:rPr>
                <w:rFonts w:hint="default" w:ascii="Times New Roman" w:hAnsi="Times New Roman" w:eastAsia="楷体" w:cs="Times New Roman"/>
                <w:color w:val="auto"/>
                <w:spacing w:val="2"/>
                <w:position w:val="-2"/>
                <w:sz w:val="24"/>
                <w:szCs w:val="24"/>
                <w:highlight w:val="none"/>
              </w:rPr>
              <w:t>——</w:t>
            </w:r>
          </w:p>
        </w:tc>
        <w:tc>
          <w:tcPr>
            <w:tcW w:w="747" w:type="pct"/>
            <w:tcBorders>
              <w:tl2br w:val="nil"/>
              <w:tr2bl w:val="nil"/>
            </w:tcBorders>
            <w:vAlign w:val="center"/>
          </w:tcPr>
          <w:p w14:paraId="45E9DE99">
            <w:pPr>
              <w:pStyle w:val="20"/>
              <w:spacing w:before="40" w:line="204" w:lineRule="auto"/>
              <w:jc w:val="center"/>
              <w:rPr>
                <w:rFonts w:hint="default" w:ascii="Times New Roman" w:hAnsi="Times New Roman" w:eastAsia="楷体" w:cs="Times New Roman"/>
                <w:color w:val="auto"/>
                <w:spacing w:val="-5"/>
                <w:highlight w:val="none"/>
              </w:rPr>
            </w:pPr>
            <w:r>
              <w:rPr>
                <w:rFonts w:hint="default" w:ascii="Times New Roman" w:hAnsi="Times New Roman" w:eastAsia="楷体" w:cs="Times New Roman"/>
                <w:color w:val="auto"/>
                <w:spacing w:val="-5"/>
                <w:highlight w:val="none"/>
              </w:rPr>
              <w:t>达到</w:t>
            </w:r>
            <w:r>
              <w:rPr>
                <w:rFonts w:hint="default" w:ascii="Times New Roman" w:hAnsi="Times New Roman" w:eastAsia="楷体" w:cs="Times New Roman"/>
                <w:color w:val="auto"/>
                <w:spacing w:val="-5"/>
                <w:highlight w:val="none"/>
                <w:lang w:eastAsia="zh-CN"/>
              </w:rPr>
              <w:t>省</w:t>
            </w:r>
            <w:r>
              <w:rPr>
                <w:rFonts w:hint="default" w:ascii="Times New Roman" w:hAnsi="Times New Roman" w:eastAsia="楷体" w:cs="Times New Roman"/>
                <w:color w:val="auto"/>
                <w:spacing w:val="-5"/>
                <w:highlight w:val="none"/>
              </w:rPr>
              <w:t>下</w:t>
            </w:r>
          </w:p>
          <w:p w14:paraId="0A6B5D1E">
            <w:pPr>
              <w:pStyle w:val="20"/>
              <w:spacing w:before="40" w:line="204" w:lineRule="auto"/>
              <w:jc w:val="center"/>
              <w:rPr>
                <w:rFonts w:hint="default" w:ascii="Times New Roman" w:hAnsi="Times New Roman" w:eastAsia="楷体" w:cs="Times New Roman"/>
                <w:color w:val="auto"/>
                <w:highlight w:val="none"/>
              </w:rPr>
            </w:pPr>
            <w:r>
              <w:rPr>
                <w:rFonts w:hint="default" w:ascii="Times New Roman" w:hAnsi="Times New Roman" w:eastAsia="楷体" w:cs="Times New Roman"/>
                <w:color w:val="auto"/>
                <w:spacing w:val="-5"/>
                <w:highlight w:val="none"/>
              </w:rPr>
              <w:t>达目标</w:t>
            </w:r>
          </w:p>
        </w:tc>
        <w:tc>
          <w:tcPr>
            <w:tcW w:w="734" w:type="pct"/>
            <w:tcBorders>
              <w:tl2br w:val="nil"/>
              <w:tr2bl w:val="nil"/>
            </w:tcBorders>
            <w:vAlign w:val="center"/>
          </w:tcPr>
          <w:p w14:paraId="315F5504">
            <w:pPr>
              <w:pStyle w:val="20"/>
              <w:spacing w:before="191" w:line="216" w:lineRule="auto"/>
              <w:jc w:val="center"/>
              <w:rPr>
                <w:rFonts w:hint="default" w:ascii="Times New Roman" w:hAnsi="Times New Roman" w:eastAsia="楷体" w:cs="Times New Roman"/>
                <w:color w:val="auto"/>
                <w:highlight w:val="none"/>
              </w:rPr>
            </w:pPr>
            <w:r>
              <w:rPr>
                <w:rFonts w:hint="default" w:ascii="Times New Roman" w:hAnsi="Times New Roman" w:eastAsia="楷体" w:cs="Times New Roman"/>
                <w:color w:val="auto"/>
                <w:spacing w:val="-1"/>
                <w:highlight w:val="none"/>
              </w:rPr>
              <w:t>预期性</w:t>
            </w:r>
          </w:p>
        </w:tc>
      </w:tr>
      <w:tr w14:paraId="468F13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6" w:hRule="atLeast"/>
        </w:trPr>
        <w:tc>
          <w:tcPr>
            <w:tcW w:w="485" w:type="pct"/>
            <w:tcBorders>
              <w:tl2br w:val="nil"/>
              <w:tr2bl w:val="nil"/>
            </w:tcBorders>
            <w:vAlign w:val="center"/>
          </w:tcPr>
          <w:p w14:paraId="40B4EAB0">
            <w:pPr>
              <w:jc w:val="center"/>
              <w:rPr>
                <w:rFonts w:hint="default" w:ascii="Times New Roman" w:hAnsi="Times New Roman" w:eastAsia="楷体" w:cs="Times New Roman"/>
                <w:color w:val="auto"/>
                <w:sz w:val="21"/>
                <w:highlight w:val="none"/>
                <w:lang w:val="en-US" w:eastAsia="zh-CN"/>
              </w:rPr>
            </w:pPr>
            <w:r>
              <w:rPr>
                <w:rFonts w:hint="default" w:ascii="Times New Roman" w:hAnsi="Times New Roman" w:eastAsia="楷体" w:cs="Times New Roman"/>
                <w:color w:val="auto"/>
                <w:sz w:val="21"/>
                <w:highlight w:val="none"/>
                <w:lang w:val="en-US" w:eastAsia="zh-CN"/>
              </w:rPr>
              <w:t>7</w:t>
            </w:r>
          </w:p>
        </w:tc>
        <w:tc>
          <w:tcPr>
            <w:tcW w:w="487" w:type="pct"/>
            <w:vMerge w:val="continue"/>
            <w:tcBorders>
              <w:tl2br w:val="nil"/>
              <w:tr2bl w:val="nil"/>
            </w:tcBorders>
            <w:vAlign w:val="center"/>
          </w:tcPr>
          <w:p w14:paraId="7B2A454C">
            <w:pPr>
              <w:jc w:val="center"/>
              <w:rPr>
                <w:rFonts w:hint="default" w:ascii="Times New Roman" w:hAnsi="Times New Roman" w:eastAsia="楷体" w:cs="Times New Roman"/>
                <w:color w:val="auto"/>
                <w:sz w:val="21"/>
                <w:highlight w:val="none"/>
              </w:rPr>
            </w:pPr>
          </w:p>
        </w:tc>
        <w:tc>
          <w:tcPr>
            <w:tcW w:w="1766" w:type="pct"/>
            <w:gridSpan w:val="2"/>
            <w:tcBorders>
              <w:tl2br w:val="nil"/>
              <w:tr2bl w:val="nil"/>
            </w:tcBorders>
            <w:vAlign w:val="center"/>
          </w:tcPr>
          <w:p w14:paraId="6AE298D3">
            <w:pPr>
              <w:pStyle w:val="20"/>
              <w:spacing w:before="153" w:line="358" w:lineRule="exact"/>
              <w:jc w:val="center"/>
              <w:rPr>
                <w:rFonts w:hint="default" w:ascii="Times New Roman" w:hAnsi="Times New Roman" w:eastAsia="楷体" w:cs="Times New Roman"/>
                <w:color w:val="auto"/>
                <w:highlight w:val="none"/>
                <w:lang w:eastAsia="zh-CN"/>
              </w:rPr>
            </w:pPr>
            <w:r>
              <w:rPr>
                <w:rFonts w:hint="default" w:ascii="Times New Roman" w:hAnsi="Times New Roman" w:eastAsia="楷体" w:cs="Times New Roman"/>
                <w:color w:val="auto"/>
                <w:spacing w:val="-1"/>
                <w:position w:val="2"/>
                <w:highlight w:val="none"/>
                <w:lang w:eastAsia="zh-CN"/>
              </w:rPr>
              <w:t>农村生活污水治理率（%）</w:t>
            </w:r>
          </w:p>
        </w:tc>
        <w:tc>
          <w:tcPr>
            <w:tcW w:w="779" w:type="pct"/>
            <w:tcBorders>
              <w:tl2br w:val="nil"/>
              <w:tr2bl w:val="nil"/>
            </w:tcBorders>
            <w:vAlign w:val="center"/>
          </w:tcPr>
          <w:p w14:paraId="199E711A">
            <w:pPr>
              <w:spacing w:before="156" w:line="315" w:lineRule="exact"/>
              <w:jc w:val="center"/>
              <w:rPr>
                <w:rFonts w:hint="default" w:ascii="Times New Roman" w:hAnsi="Times New Roman" w:eastAsia="楷体" w:cs="Times New Roman"/>
                <w:color w:val="auto"/>
                <w:sz w:val="24"/>
                <w:szCs w:val="24"/>
                <w:highlight w:val="none"/>
                <w:lang w:val="en-US" w:eastAsia="zh-CN"/>
              </w:rPr>
            </w:pPr>
            <w:r>
              <w:rPr>
                <w:rFonts w:hint="eastAsia" w:eastAsia="楷体" w:cs="Times New Roman"/>
                <w:color w:val="auto"/>
                <w:spacing w:val="2"/>
                <w:position w:val="-2"/>
                <w:sz w:val="24"/>
                <w:szCs w:val="24"/>
                <w:highlight w:val="none"/>
                <w:lang w:val="en-US" w:eastAsia="zh-CN"/>
              </w:rPr>
              <w:t>59.6</w:t>
            </w:r>
          </w:p>
        </w:tc>
        <w:tc>
          <w:tcPr>
            <w:tcW w:w="747" w:type="pct"/>
            <w:tcBorders>
              <w:tl2br w:val="nil"/>
              <w:tr2bl w:val="nil"/>
            </w:tcBorders>
            <w:vAlign w:val="center"/>
          </w:tcPr>
          <w:p w14:paraId="7933D7AE">
            <w:pPr>
              <w:pStyle w:val="20"/>
              <w:spacing w:before="36" w:line="218" w:lineRule="auto"/>
              <w:jc w:val="center"/>
              <w:rPr>
                <w:rFonts w:hint="default" w:ascii="Times New Roman" w:hAnsi="Times New Roman" w:eastAsia="楷体" w:cs="Times New Roman"/>
                <w:color w:val="auto"/>
                <w:spacing w:val="-5"/>
                <w:highlight w:val="none"/>
                <w:lang w:eastAsia="zh-CN"/>
              </w:rPr>
            </w:pPr>
            <w:r>
              <w:rPr>
                <w:rFonts w:hint="default" w:ascii="Times New Roman" w:hAnsi="Times New Roman" w:eastAsia="楷体" w:cs="Times New Roman"/>
                <w:color w:val="auto"/>
                <w:spacing w:val="-5"/>
                <w:highlight w:val="none"/>
              </w:rPr>
              <w:t>达到</w:t>
            </w:r>
            <w:r>
              <w:rPr>
                <w:rFonts w:hint="default" w:ascii="Times New Roman" w:hAnsi="Times New Roman" w:eastAsia="楷体" w:cs="Times New Roman"/>
                <w:color w:val="auto"/>
                <w:spacing w:val="-5"/>
                <w:highlight w:val="none"/>
                <w:lang w:eastAsia="zh-CN"/>
              </w:rPr>
              <w:t>省</w:t>
            </w:r>
          </w:p>
          <w:p w14:paraId="77F3FA7D">
            <w:pPr>
              <w:pStyle w:val="20"/>
              <w:spacing w:before="36" w:line="218" w:lineRule="auto"/>
              <w:jc w:val="center"/>
              <w:rPr>
                <w:rFonts w:hint="default" w:ascii="Times New Roman" w:hAnsi="Times New Roman" w:eastAsia="楷体" w:cs="Times New Roman"/>
                <w:color w:val="auto"/>
                <w:highlight w:val="none"/>
              </w:rPr>
            </w:pPr>
            <w:r>
              <w:rPr>
                <w:rFonts w:hint="default" w:ascii="Times New Roman" w:hAnsi="Times New Roman" w:eastAsia="楷体" w:cs="Times New Roman"/>
                <w:color w:val="auto"/>
                <w:spacing w:val="-5"/>
                <w:highlight w:val="none"/>
              </w:rPr>
              <w:t>下达目标</w:t>
            </w:r>
          </w:p>
        </w:tc>
        <w:tc>
          <w:tcPr>
            <w:tcW w:w="734" w:type="pct"/>
            <w:tcBorders>
              <w:tl2br w:val="nil"/>
              <w:tr2bl w:val="nil"/>
            </w:tcBorders>
            <w:vAlign w:val="center"/>
          </w:tcPr>
          <w:p w14:paraId="6604881E">
            <w:pPr>
              <w:pStyle w:val="20"/>
              <w:spacing w:before="192" w:line="216" w:lineRule="auto"/>
              <w:jc w:val="center"/>
              <w:rPr>
                <w:rFonts w:hint="default" w:ascii="Times New Roman" w:hAnsi="Times New Roman" w:eastAsia="楷体" w:cs="Times New Roman"/>
                <w:color w:val="auto"/>
                <w:highlight w:val="none"/>
              </w:rPr>
            </w:pPr>
            <w:r>
              <w:rPr>
                <w:rFonts w:hint="default" w:ascii="Times New Roman" w:hAnsi="Times New Roman" w:eastAsia="楷体" w:cs="Times New Roman"/>
                <w:color w:val="auto"/>
                <w:spacing w:val="-1"/>
                <w:highlight w:val="none"/>
              </w:rPr>
              <w:t>预期性</w:t>
            </w:r>
          </w:p>
        </w:tc>
      </w:tr>
      <w:tr w14:paraId="00E741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485" w:type="pct"/>
            <w:tcBorders>
              <w:tl2br w:val="nil"/>
              <w:tr2bl w:val="nil"/>
            </w:tcBorders>
            <w:vAlign w:val="center"/>
          </w:tcPr>
          <w:p w14:paraId="2AEC7DB1">
            <w:pPr>
              <w:jc w:val="center"/>
              <w:rPr>
                <w:rFonts w:hint="default" w:ascii="Times New Roman" w:hAnsi="Times New Roman" w:eastAsia="楷体" w:cs="Times New Roman"/>
                <w:color w:val="auto"/>
                <w:sz w:val="21"/>
                <w:highlight w:val="none"/>
                <w:lang w:val="en-US" w:eastAsia="zh-CN"/>
              </w:rPr>
            </w:pPr>
            <w:r>
              <w:rPr>
                <w:rFonts w:hint="default" w:ascii="Times New Roman" w:hAnsi="Times New Roman" w:eastAsia="楷体" w:cs="Times New Roman"/>
                <w:color w:val="auto"/>
                <w:sz w:val="21"/>
                <w:highlight w:val="none"/>
                <w:lang w:val="en-US" w:eastAsia="zh-CN"/>
              </w:rPr>
              <w:t>8</w:t>
            </w:r>
          </w:p>
        </w:tc>
        <w:tc>
          <w:tcPr>
            <w:tcW w:w="487" w:type="pct"/>
            <w:vMerge w:val="continue"/>
            <w:tcBorders>
              <w:tl2br w:val="nil"/>
              <w:tr2bl w:val="nil"/>
            </w:tcBorders>
            <w:vAlign w:val="center"/>
          </w:tcPr>
          <w:p w14:paraId="70A91BA3">
            <w:pPr>
              <w:jc w:val="center"/>
              <w:rPr>
                <w:rFonts w:hint="default" w:ascii="Times New Roman" w:hAnsi="Times New Roman" w:eastAsia="楷体" w:cs="Times New Roman"/>
                <w:color w:val="auto"/>
                <w:sz w:val="21"/>
                <w:highlight w:val="none"/>
              </w:rPr>
            </w:pPr>
          </w:p>
        </w:tc>
        <w:tc>
          <w:tcPr>
            <w:tcW w:w="1766" w:type="pct"/>
            <w:gridSpan w:val="2"/>
            <w:tcBorders>
              <w:tl2br w:val="nil"/>
              <w:tr2bl w:val="nil"/>
            </w:tcBorders>
            <w:vAlign w:val="center"/>
          </w:tcPr>
          <w:p w14:paraId="255307B6">
            <w:pPr>
              <w:pStyle w:val="20"/>
              <w:spacing w:before="156" w:line="357" w:lineRule="exact"/>
              <w:jc w:val="center"/>
              <w:rPr>
                <w:rFonts w:hint="default" w:ascii="Times New Roman" w:hAnsi="Times New Roman" w:eastAsia="楷体" w:cs="Times New Roman"/>
                <w:color w:val="auto"/>
                <w:highlight w:val="none"/>
                <w:lang w:eastAsia="zh-CN"/>
              </w:rPr>
            </w:pPr>
            <w:r>
              <w:rPr>
                <w:rFonts w:hint="default" w:ascii="Times New Roman" w:hAnsi="Times New Roman" w:eastAsia="楷体" w:cs="Times New Roman"/>
                <w:color w:val="auto"/>
                <w:spacing w:val="-2"/>
                <w:position w:val="2"/>
                <w:highlight w:val="none"/>
                <w:lang w:eastAsia="zh-CN"/>
              </w:rPr>
              <w:t>声环境功能区夜间达标率（%）</w:t>
            </w:r>
          </w:p>
        </w:tc>
        <w:tc>
          <w:tcPr>
            <w:tcW w:w="779" w:type="pct"/>
            <w:tcBorders>
              <w:tl2br w:val="nil"/>
              <w:tr2bl w:val="nil"/>
            </w:tcBorders>
            <w:vAlign w:val="center"/>
          </w:tcPr>
          <w:p w14:paraId="6E4949B3">
            <w:pPr>
              <w:spacing w:before="156" w:line="315" w:lineRule="exact"/>
              <w:jc w:val="center"/>
              <w:rPr>
                <w:rFonts w:hint="default" w:ascii="Times New Roman" w:hAnsi="Times New Roman" w:eastAsia="楷体" w:cs="Times New Roman"/>
                <w:color w:val="auto"/>
                <w:sz w:val="24"/>
                <w:szCs w:val="24"/>
                <w:highlight w:val="none"/>
                <w:lang w:val="en-US" w:eastAsia="zh-CN"/>
              </w:rPr>
            </w:pPr>
            <w:r>
              <w:rPr>
                <w:rFonts w:hint="eastAsia" w:eastAsia="楷体" w:cs="Times New Roman"/>
                <w:color w:val="auto"/>
                <w:spacing w:val="2"/>
                <w:position w:val="-2"/>
                <w:sz w:val="24"/>
                <w:szCs w:val="24"/>
                <w:highlight w:val="none"/>
                <w:lang w:val="en-US" w:eastAsia="zh-CN"/>
              </w:rPr>
              <w:t>92.2</w:t>
            </w:r>
          </w:p>
        </w:tc>
        <w:tc>
          <w:tcPr>
            <w:tcW w:w="747" w:type="pct"/>
            <w:tcBorders>
              <w:tl2br w:val="nil"/>
              <w:tr2bl w:val="nil"/>
            </w:tcBorders>
            <w:vAlign w:val="center"/>
          </w:tcPr>
          <w:p w14:paraId="6953A506">
            <w:pPr>
              <w:pStyle w:val="20"/>
              <w:spacing w:before="39" w:line="205" w:lineRule="auto"/>
              <w:jc w:val="center"/>
              <w:rPr>
                <w:rFonts w:hint="default" w:ascii="Times New Roman" w:hAnsi="Times New Roman" w:eastAsia="楷体" w:cs="Times New Roman"/>
                <w:color w:val="auto"/>
                <w:spacing w:val="-5"/>
                <w:highlight w:val="none"/>
                <w:lang w:eastAsia="zh-CN"/>
              </w:rPr>
            </w:pPr>
            <w:r>
              <w:rPr>
                <w:rFonts w:hint="default" w:ascii="Times New Roman" w:hAnsi="Times New Roman" w:eastAsia="楷体" w:cs="Times New Roman"/>
                <w:color w:val="auto"/>
                <w:spacing w:val="-5"/>
                <w:highlight w:val="none"/>
              </w:rPr>
              <w:t>达到</w:t>
            </w:r>
            <w:r>
              <w:rPr>
                <w:rFonts w:hint="default" w:ascii="Times New Roman" w:hAnsi="Times New Roman" w:eastAsia="楷体" w:cs="Times New Roman"/>
                <w:color w:val="auto"/>
                <w:spacing w:val="-5"/>
                <w:highlight w:val="none"/>
                <w:lang w:eastAsia="zh-CN"/>
              </w:rPr>
              <w:t>省</w:t>
            </w:r>
          </w:p>
          <w:p w14:paraId="30F60931">
            <w:pPr>
              <w:pStyle w:val="20"/>
              <w:spacing w:before="39" w:line="205" w:lineRule="auto"/>
              <w:jc w:val="center"/>
              <w:rPr>
                <w:rFonts w:hint="default" w:ascii="Times New Roman" w:hAnsi="Times New Roman" w:eastAsia="楷体" w:cs="Times New Roman"/>
                <w:color w:val="auto"/>
                <w:highlight w:val="none"/>
              </w:rPr>
            </w:pPr>
            <w:r>
              <w:rPr>
                <w:rFonts w:hint="default" w:ascii="Times New Roman" w:hAnsi="Times New Roman" w:eastAsia="楷体" w:cs="Times New Roman"/>
                <w:color w:val="auto"/>
                <w:spacing w:val="-5"/>
                <w:highlight w:val="none"/>
              </w:rPr>
              <w:t>下达目标</w:t>
            </w:r>
          </w:p>
        </w:tc>
        <w:tc>
          <w:tcPr>
            <w:tcW w:w="734" w:type="pct"/>
            <w:tcBorders>
              <w:tl2br w:val="nil"/>
              <w:tr2bl w:val="nil"/>
            </w:tcBorders>
            <w:vAlign w:val="center"/>
          </w:tcPr>
          <w:p w14:paraId="0C12EF04">
            <w:pPr>
              <w:pStyle w:val="20"/>
              <w:spacing w:before="192" w:line="216" w:lineRule="auto"/>
              <w:jc w:val="center"/>
              <w:rPr>
                <w:rFonts w:hint="default" w:ascii="Times New Roman" w:hAnsi="Times New Roman" w:eastAsia="楷体" w:cs="Times New Roman"/>
                <w:color w:val="auto"/>
                <w:highlight w:val="none"/>
              </w:rPr>
            </w:pPr>
            <w:r>
              <w:rPr>
                <w:rFonts w:hint="default" w:ascii="Times New Roman" w:hAnsi="Times New Roman" w:eastAsia="楷体" w:cs="Times New Roman"/>
                <w:color w:val="auto"/>
                <w:spacing w:val="-1"/>
                <w:highlight w:val="none"/>
              </w:rPr>
              <w:t>预期性</w:t>
            </w:r>
          </w:p>
        </w:tc>
      </w:tr>
      <w:tr w14:paraId="3A8400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8" w:hRule="atLeast"/>
        </w:trPr>
        <w:tc>
          <w:tcPr>
            <w:tcW w:w="485" w:type="pct"/>
            <w:tcBorders>
              <w:tl2br w:val="nil"/>
              <w:tr2bl w:val="nil"/>
            </w:tcBorders>
            <w:vAlign w:val="center"/>
          </w:tcPr>
          <w:p w14:paraId="47F3A5F8">
            <w:pPr>
              <w:pStyle w:val="20"/>
              <w:spacing w:before="78" w:line="238" w:lineRule="auto"/>
              <w:ind w:left="155" w:right="155" w:firstLine="12"/>
              <w:jc w:val="center"/>
              <w:rPr>
                <w:rFonts w:hint="default" w:ascii="Times New Roman" w:hAnsi="Times New Roman" w:eastAsia="楷体" w:cs="Times New Roman"/>
                <w:color w:val="auto"/>
                <w:spacing w:val="-5"/>
                <w:highlight w:val="none"/>
                <w:lang w:val="en-US" w:eastAsia="zh-CN"/>
              </w:rPr>
            </w:pPr>
            <w:r>
              <w:rPr>
                <w:rFonts w:hint="default" w:ascii="Times New Roman" w:hAnsi="Times New Roman" w:eastAsia="楷体" w:cs="Times New Roman"/>
                <w:color w:val="auto"/>
                <w:spacing w:val="-5"/>
                <w:highlight w:val="none"/>
                <w:lang w:val="en-US" w:eastAsia="zh-CN"/>
              </w:rPr>
              <w:t>9</w:t>
            </w:r>
          </w:p>
        </w:tc>
        <w:tc>
          <w:tcPr>
            <w:tcW w:w="487" w:type="pct"/>
            <w:vMerge w:val="restart"/>
            <w:tcBorders>
              <w:tl2br w:val="nil"/>
              <w:tr2bl w:val="nil"/>
            </w:tcBorders>
            <w:vAlign w:val="center"/>
          </w:tcPr>
          <w:p w14:paraId="4B6CA06B">
            <w:pPr>
              <w:pStyle w:val="20"/>
              <w:spacing w:before="78" w:line="238" w:lineRule="auto"/>
              <w:ind w:left="155" w:right="155" w:firstLine="12"/>
              <w:jc w:val="center"/>
              <w:rPr>
                <w:rFonts w:hint="default" w:ascii="Times New Roman" w:hAnsi="Times New Roman" w:eastAsia="楷体" w:cs="Times New Roman"/>
                <w:color w:val="auto"/>
                <w:highlight w:val="none"/>
              </w:rPr>
            </w:pPr>
            <w:r>
              <w:rPr>
                <w:rFonts w:hint="default" w:ascii="Times New Roman" w:hAnsi="Times New Roman" w:eastAsia="楷体" w:cs="Times New Roman"/>
                <w:color w:val="auto"/>
                <w:spacing w:val="-5"/>
                <w:highlight w:val="none"/>
              </w:rPr>
              <w:t>减污降</w:t>
            </w:r>
            <w:r>
              <w:rPr>
                <w:rFonts w:hint="default" w:ascii="Times New Roman" w:hAnsi="Times New Roman" w:eastAsia="楷体" w:cs="Times New Roman"/>
                <w:color w:val="auto"/>
                <w:highlight w:val="none"/>
              </w:rPr>
              <w:t>碳协同</w:t>
            </w:r>
          </w:p>
        </w:tc>
        <w:tc>
          <w:tcPr>
            <w:tcW w:w="1766" w:type="pct"/>
            <w:gridSpan w:val="2"/>
            <w:tcBorders>
              <w:tl2br w:val="nil"/>
              <w:tr2bl w:val="nil"/>
            </w:tcBorders>
            <w:vAlign w:val="center"/>
          </w:tcPr>
          <w:p w14:paraId="4557D9AF">
            <w:pPr>
              <w:pStyle w:val="20"/>
              <w:spacing w:before="78" w:line="214" w:lineRule="auto"/>
              <w:jc w:val="center"/>
              <w:rPr>
                <w:rFonts w:hint="default" w:ascii="Times New Roman" w:hAnsi="Times New Roman" w:eastAsia="楷体" w:cs="Times New Roman"/>
                <w:color w:val="auto"/>
                <w:highlight w:val="none"/>
              </w:rPr>
            </w:pPr>
            <w:r>
              <w:rPr>
                <w:rFonts w:hint="default" w:ascii="Times New Roman" w:hAnsi="Times New Roman" w:eastAsia="楷体" w:cs="Times New Roman"/>
                <w:b/>
                <w:bCs/>
                <w:color w:val="auto"/>
                <w:spacing w:val="-6"/>
                <w:highlight w:val="none"/>
              </w:rPr>
              <w:t>单位</w:t>
            </w:r>
            <w:r>
              <w:rPr>
                <w:rFonts w:hint="default" w:ascii="Times New Roman" w:hAnsi="Times New Roman" w:eastAsia="楷体" w:cs="Times New Roman"/>
                <w:color w:val="auto"/>
                <w:spacing w:val="-45"/>
                <w:highlight w:val="none"/>
              </w:rPr>
              <w:t xml:space="preserve"> </w:t>
            </w:r>
            <w:r>
              <w:rPr>
                <w:rFonts w:hint="default" w:ascii="Times New Roman" w:hAnsi="Times New Roman" w:eastAsia="楷体" w:cs="Times New Roman"/>
                <w:b/>
                <w:bCs/>
                <w:color w:val="auto"/>
                <w:spacing w:val="-6"/>
                <w:highlight w:val="none"/>
              </w:rPr>
              <w:t>GDP二氧化碳排放降低（</w:t>
            </w:r>
            <w:r>
              <w:rPr>
                <w:rFonts w:hint="default" w:ascii="Times New Roman" w:hAnsi="Times New Roman" w:eastAsia="楷体" w:cs="Times New Roman"/>
                <w:color w:val="auto"/>
                <w:spacing w:val="-63"/>
                <w:highlight w:val="none"/>
              </w:rPr>
              <w:t xml:space="preserve"> </w:t>
            </w:r>
            <w:r>
              <w:rPr>
                <w:rFonts w:hint="default" w:ascii="Times New Roman" w:hAnsi="Times New Roman" w:eastAsia="楷体" w:cs="Times New Roman"/>
                <w:b/>
                <w:bCs/>
                <w:color w:val="auto"/>
                <w:spacing w:val="-6"/>
                <w:highlight w:val="none"/>
              </w:rPr>
              <w:t>%）</w:t>
            </w:r>
          </w:p>
        </w:tc>
        <w:tc>
          <w:tcPr>
            <w:tcW w:w="779" w:type="pct"/>
            <w:tcBorders>
              <w:tl2br w:val="nil"/>
              <w:tr2bl w:val="nil"/>
            </w:tcBorders>
            <w:vAlign w:val="center"/>
          </w:tcPr>
          <w:p w14:paraId="0B23C508">
            <w:pPr>
              <w:pStyle w:val="20"/>
              <w:spacing w:before="3" w:line="237" w:lineRule="auto"/>
              <w:jc w:val="center"/>
              <w:rPr>
                <w:rFonts w:hint="default" w:ascii="Times New Roman" w:hAnsi="Times New Roman" w:eastAsia="楷体" w:cs="Times New Roman"/>
                <w:color w:val="auto"/>
                <w:highlight w:val="none"/>
                <w:lang w:val="en-US" w:eastAsia="zh-CN"/>
              </w:rPr>
            </w:pPr>
            <w:r>
              <w:rPr>
                <w:rFonts w:hint="eastAsia" w:ascii="Times New Roman" w:hAnsi="Times New Roman" w:cs="Times New Roman"/>
                <w:color w:val="auto"/>
                <w:highlight w:val="none"/>
                <w:lang w:val="en-US" w:eastAsia="zh-CN"/>
              </w:rPr>
              <w:t>3.91</w:t>
            </w:r>
          </w:p>
        </w:tc>
        <w:tc>
          <w:tcPr>
            <w:tcW w:w="747" w:type="pct"/>
            <w:tcBorders>
              <w:tl2br w:val="nil"/>
              <w:tr2bl w:val="nil"/>
            </w:tcBorders>
            <w:vAlign w:val="center"/>
          </w:tcPr>
          <w:p w14:paraId="5C14D24D">
            <w:pPr>
              <w:pStyle w:val="20"/>
              <w:spacing w:before="40" w:line="204" w:lineRule="auto"/>
              <w:jc w:val="center"/>
              <w:rPr>
                <w:rFonts w:hint="default" w:ascii="Times New Roman" w:hAnsi="Times New Roman" w:eastAsia="楷体" w:cs="Times New Roman"/>
                <w:color w:val="auto"/>
                <w:spacing w:val="-5"/>
                <w:highlight w:val="none"/>
              </w:rPr>
            </w:pPr>
            <w:r>
              <w:rPr>
                <w:rFonts w:hint="default" w:ascii="Times New Roman" w:hAnsi="Times New Roman" w:eastAsia="楷体" w:cs="Times New Roman"/>
                <w:color w:val="auto"/>
                <w:spacing w:val="-5"/>
                <w:highlight w:val="none"/>
              </w:rPr>
              <w:t>达到</w:t>
            </w:r>
            <w:r>
              <w:rPr>
                <w:rFonts w:hint="default" w:ascii="Times New Roman" w:hAnsi="Times New Roman" w:eastAsia="楷体" w:cs="Times New Roman"/>
                <w:color w:val="auto"/>
                <w:spacing w:val="-5"/>
                <w:highlight w:val="none"/>
                <w:lang w:eastAsia="zh-CN"/>
              </w:rPr>
              <w:t>省</w:t>
            </w:r>
            <w:r>
              <w:rPr>
                <w:rFonts w:hint="default" w:ascii="Times New Roman" w:hAnsi="Times New Roman" w:eastAsia="楷体" w:cs="Times New Roman"/>
                <w:color w:val="auto"/>
                <w:spacing w:val="-5"/>
                <w:highlight w:val="none"/>
              </w:rPr>
              <w:t>下</w:t>
            </w:r>
          </w:p>
          <w:p w14:paraId="4491D32A">
            <w:pPr>
              <w:pStyle w:val="20"/>
              <w:spacing w:before="40" w:line="204" w:lineRule="auto"/>
              <w:jc w:val="center"/>
              <w:rPr>
                <w:rFonts w:hint="default" w:ascii="Times New Roman" w:hAnsi="Times New Roman" w:eastAsia="楷体" w:cs="Times New Roman"/>
                <w:color w:val="auto"/>
                <w:highlight w:val="none"/>
              </w:rPr>
            </w:pPr>
            <w:r>
              <w:rPr>
                <w:rFonts w:hint="default" w:ascii="Times New Roman" w:hAnsi="Times New Roman" w:eastAsia="楷体" w:cs="Times New Roman"/>
                <w:color w:val="auto"/>
                <w:spacing w:val="-5"/>
                <w:highlight w:val="none"/>
              </w:rPr>
              <w:t>达目标</w:t>
            </w:r>
          </w:p>
        </w:tc>
        <w:tc>
          <w:tcPr>
            <w:tcW w:w="734" w:type="pct"/>
            <w:tcBorders>
              <w:tl2br w:val="nil"/>
              <w:tr2bl w:val="nil"/>
            </w:tcBorders>
            <w:vAlign w:val="center"/>
          </w:tcPr>
          <w:p w14:paraId="38DC024F">
            <w:pPr>
              <w:pStyle w:val="20"/>
              <w:spacing w:before="78" w:line="214" w:lineRule="auto"/>
              <w:ind w:left="326"/>
              <w:jc w:val="both"/>
              <w:rPr>
                <w:rFonts w:hint="default" w:ascii="Times New Roman" w:hAnsi="Times New Roman" w:eastAsia="楷体" w:cs="Times New Roman"/>
                <w:color w:val="auto"/>
                <w:highlight w:val="none"/>
              </w:rPr>
            </w:pPr>
            <w:r>
              <w:rPr>
                <w:rFonts w:hint="default" w:ascii="Times New Roman" w:hAnsi="Times New Roman" w:eastAsia="楷体" w:cs="Times New Roman"/>
                <w:b/>
                <w:bCs/>
                <w:color w:val="auto"/>
                <w:spacing w:val="-8"/>
                <w:highlight w:val="none"/>
              </w:rPr>
              <w:t>约束性</w:t>
            </w:r>
          </w:p>
        </w:tc>
      </w:tr>
      <w:tr w14:paraId="027F23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6" w:hRule="atLeast"/>
        </w:trPr>
        <w:tc>
          <w:tcPr>
            <w:tcW w:w="485" w:type="pct"/>
            <w:tcBorders>
              <w:tl2br w:val="nil"/>
              <w:tr2bl w:val="nil"/>
            </w:tcBorders>
            <w:vAlign w:val="center"/>
          </w:tcPr>
          <w:p w14:paraId="13A19FB7">
            <w:pPr>
              <w:jc w:val="center"/>
              <w:rPr>
                <w:rFonts w:hint="default" w:ascii="Times New Roman" w:hAnsi="Times New Roman" w:eastAsia="楷体" w:cs="Times New Roman"/>
                <w:color w:val="auto"/>
                <w:sz w:val="21"/>
                <w:highlight w:val="none"/>
                <w:lang w:val="en-US" w:eastAsia="zh-CN"/>
              </w:rPr>
            </w:pPr>
            <w:r>
              <w:rPr>
                <w:rFonts w:hint="default" w:ascii="Times New Roman" w:hAnsi="Times New Roman" w:eastAsia="楷体" w:cs="Times New Roman"/>
                <w:color w:val="auto"/>
                <w:sz w:val="21"/>
                <w:highlight w:val="none"/>
                <w:lang w:val="en-US" w:eastAsia="zh-CN"/>
              </w:rPr>
              <w:t>10</w:t>
            </w:r>
          </w:p>
        </w:tc>
        <w:tc>
          <w:tcPr>
            <w:tcW w:w="487" w:type="pct"/>
            <w:vMerge w:val="continue"/>
            <w:tcBorders>
              <w:tl2br w:val="nil"/>
              <w:tr2bl w:val="nil"/>
            </w:tcBorders>
            <w:vAlign w:val="center"/>
          </w:tcPr>
          <w:p w14:paraId="6F9283E2">
            <w:pPr>
              <w:jc w:val="center"/>
              <w:rPr>
                <w:rFonts w:hint="default" w:ascii="Times New Roman" w:hAnsi="Times New Roman" w:eastAsia="楷体" w:cs="Times New Roman"/>
                <w:color w:val="auto"/>
                <w:sz w:val="21"/>
                <w:highlight w:val="none"/>
              </w:rPr>
            </w:pPr>
          </w:p>
        </w:tc>
        <w:tc>
          <w:tcPr>
            <w:tcW w:w="1766" w:type="pct"/>
            <w:gridSpan w:val="2"/>
            <w:tcBorders>
              <w:tl2br w:val="nil"/>
              <w:tr2bl w:val="nil"/>
            </w:tcBorders>
            <w:vAlign w:val="center"/>
          </w:tcPr>
          <w:p w14:paraId="587C976D">
            <w:pPr>
              <w:pStyle w:val="20"/>
              <w:spacing w:before="40" w:line="214" w:lineRule="auto"/>
              <w:jc w:val="center"/>
              <w:rPr>
                <w:rFonts w:hint="default" w:ascii="Times New Roman" w:hAnsi="Times New Roman" w:eastAsia="楷体" w:cs="Times New Roman"/>
                <w:color w:val="auto"/>
                <w:highlight w:val="none"/>
              </w:rPr>
            </w:pPr>
            <w:r>
              <w:rPr>
                <w:rFonts w:hint="default" w:ascii="Times New Roman" w:hAnsi="Times New Roman" w:eastAsia="楷体" w:cs="Times New Roman"/>
                <w:color w:val="auto"/>
                <w:spacing w:val="-1"/>
                <w:highlight w:val="none"/>
                <w:lang w:eastAsia="zh-CN"/>
              </w:rPr>
              <w:t>全国碳排放权交易市场覆盖行业的碳排放</w:t>
            </w:r>
            <w:r>
              <w:rPr>
                <w:rFonts w:hint="default" w:ascii="Times New Roman" w:hAnsi="Times New Roman" w:eastAsia="楷体" w:cs="Times New Roman"/>
                <w:color w:val="auto"/>
                <w:spacing w:val="-1"/>
                <w:highlight w:val="none"/>
              </w:rPr>
              <w:t>控制目标</w:t>
            </w:r>
          </w:p>
        </w:tc>
        <w:tc>
          <w:tcPr>
            <w:tcW w:w="779" w:type="pct"/>
            <w:tcBorders>
              <w:tl2br w:val="nil"/>
              <w:tr2bl w:val="nil"/>
            </w:tcBorders>
            <w:vAlign w:val="center"/>
          </w:tcPr>
          <w:p w14:paraId="693B8DCE">
            <w:pPr>
              <w:jc w:val="center"/>
              <w:rPr>
                <w:rFonts w:hint="default" w:ascii="Times New Roman" w:hAnsi="Times New Roman" w:eastAsia="楷体" w:cs="Times New Roman"/>
                <w:color w:val="auto"/>
                <w:sz w:val="21"/>
                <w:highlight w:val="none"/>
              </w:rPr>
            </w:pPr>
            <w:r>
              <w:rPr>
                <w:rFonts w:hint="default" w:ascii="Times New Roman" w:hAnsi="Times New Roman" w:eastAsia="楷体" w:cs="Times New Roman"/>
                <w:color w:val="auto"/>
                <w:spacing w:val="2"/>
                <w:position w:val="-2"/>
                <w:sz w:val="24"/>
                <w:szCs w:val="24"/>
                <w:highlight w:val="none"/>
              </w:rPr>
              <w:t>——</w:t>
            </w:r>
          </w:p>
        </w:tc>
        <w:tc>
          <w:tcPr>
            <w:tcW w:w="747" w:type="pct"/>
            <w:tcBorders>
              <w:tl2br w:val="nil"/>
              <w:tr2bl w:val="nil"/>
            </w:tcBorders>
            <w:vAlign w:val="center"/>
          </w:tcPr>
          <w:p w14:paraId="14C1F4F0">
            <w:pPr>
              <w:pStyle w:val="20"/>
              <w:spacing w:before="36" w:line="218" w:lineRule="auto"/>
              <w:jc w:val="center"/>
              <w:rPr>
                <w:rFonts w:hint="default" w:ascii="Times New Roman" w:hAnsi="Times New Roman" w:eastAsia="楷体" w:cs="Times New Roman"/>
                <w:color w:val="auto"/>
                <w:spacing w:val="-5"/>
                <w:highlight w:val="none"/>
                <w:lang w:eastAsia="zh-CN"/>
              </w:rPr>
            </w:pPr>
            <w:r>
              <w:rPr>
                <w:rFonts w:hint="default" w:ascii="Times New Roman" w:hAnsi="Times New Roman" w:eastAsia="楷体" w:cs="Times New Roman"/>
                <w:color w:val="auto"/>
                <w:spacing w:val="-5"/>
                <w:highlight w:val="none"/>
              </w:rPr>
              <w:t>达到</w:t>
            </w:r>
            <w:r>
              <w:rPr>
                <w:rFonts w:hint="default" w:ascii="Times New Roman" w:hAnsi="Times New Roman" w:eastAsia="楷体" w:cs="Times New Roman"/>
                <w:color w:val="auto"/>
                <w:spacing w:val="-5"/>
                <w:highlight w:val="none"/>
                <w:lang w:eastAsia="zh-CN"/>
              </w:rPr>
              <w:t>省</w:t>
            </w:r>
          </w:p>
          <w:p w14:paraId="2CF0D84A">
            <w:pPr>
              <w:pStyle w:val="20"/>
              <w:spacing w:before="36" w:line="218" w:lineRule="auto"/>
              <w:jc w:val="center"/>
              <w:rPr>
                <w:rFonts w:hint="default" w:ascii="Times New Roman" w:hAnsi="Times New Roman" w:eastAsia="楷体" w:cs="Times New Roman"/>
                <w:color w:val="auto"/>
                <w:highlight w:val="none"/>
              </w:rPr>
            </w:pPr>
            <w:r>
              <w:rPr>
                <w:rFonts w:hint="default" w:ascii="Times New Roman" w:hAnsi="Times New Roman" w:eastAsia="楷体" w:cs="Times New Roman"/>
                <w:color w:val="auto"/>
                <w:spacing w:val="-5"/>
                <w:highlight w:val="none"/>
              </w:rPr>
              <w:t>下达目标</w:t>
            </w:r>
          </w:p>
        </w:tc>
        <w:tc>
          <w:tcPr>
            <w:tcW w:w="734" w:type="pct"/>
            <w:tcBorders>
              <w:tl2br w:val="nil"/>
              <w:tr2bl w:val="nil"/>
            </w:tcBorders>
            <w:vAlign w:val="center"/>
          </w:tcPr>
          <w:p w14:paraId="3F121BD6">
            <w:pPr>
              <w:pStyle w:val="20"/>
              <w:spacing w:before="193" w:line="216" w:lineRule="auto"/>
              <w:ind w:left="310"/>
              <w:jc w:val="both"/>
              <w:rPr>
                <w:rFonts w:hint="default" w:ascii="Times New Roman" w:hAnsi="Times New Roman" w:eastAsia="楷体" w:cs="Times New Roman"/>
                <w:color w:val="auto"/>
                <w:highlight w:val="none"/>
              </w:rPr>
            </w:pPr>
            <w:r>
              <w:rPr>
                <w:rFonts w:hint="default" w:ascii="Times New Roman" w:hAnsi="Times New Roman" w:eastAsia="楷体" w:cs="Times New Roman"/>
                <w:color w:val="auto"/>
                <w:spacing w:val="-1"/>
                <w:highlight w:val="none"/>
              </w:rPr>
              <w:t>预期性</w:t>
            </w:r>
          </w:p>
        </w:tc>
      </w:tr>
      <w:tr w14:paraId="682E06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485" w:type="pct"/>
            <w:tcBorders>
              <w:tl2br w:val="nil"/>
              <w:tr2bl w:val="nil"/>
            </w:tcBorders>
            <w:vAlign w:val="center"/>
          </w:tcPr>
          <w:p w14:paraId="1242EDFA">
            <w:pPr>
              <w:jc w:val="center"/>
              <w:rPr>
                <w:rFonts w:hint="default" w:ascii="Times New Roman" w:hAnsi="Times New Roman" w:eastAsia="楷体" w:cs="Times New Roman"/>
                <w:color w:val="auto"/>
                <w:sz w:val="21"/>
                <w:highlight w:val="none"/>
                <w:lang w:val="en-US" w:eastAsia="zh-CN"/>
              </w:rPr>
            </w:pPr>
            <w:r>
              <w:rPr>
                <w:rFonts w:hint="default" w:ascii="Times New Roman" w:hAnsi="Times New Roman" w:eastAsia="楷体" w:cs="Times New Roman"/>
                <w:color w:val="auto"/>
                <w:sz w:val="21"/>
                <w:highlight w:val="none"/>
                <w:lang w:val="en-US" w:eastAsia="zh-CN"/>
              </w:rPr>
              <w:t>11</w:t>
            </w:r>
          </w:p>
        </w:tc>
        <w:tc>
          <w:tcPr>
            <w:tcW w:w="487" w:type="pct"/>
            <w:vMerge w:val="continue"/>
            <w:tcBorders>
              <w:tl2br w:val="nil"/>
              <w:tr2bl w:val="nil"/>
            </w:tcBorders>
            <w:vAlign w:val="center"/>
          </w:tcPr>
          <w:p w14:paraId="4FB9CD2C">
            <w:pPr>
              <w:jc w:val="center"/>
              <w:rPr>
                <w:rFonts w:hint="default" w:ascii="Times New Roman" w:hAnsi="Times New Roman" w:eastAsia="楷体" w:cs="Times New Roman"/>
                <w:color w:val="auto"/>
                <w:sz w:val="21"/>
                <w:highlight w:val="none"/>
              </w:rPr>
            </w:pPr>
          </w:p>
        </w:tc>
        <w:tc>
          <w:tcPr>
            <w:tcW w:w="1766" w:type="pct"/>
            <w:gridSpan w:val="2"/>
            <w:tcBorders>
              <w:tl2br w:val="nil"/>
              <w:tr2bl w:val="nil"/>
            </w:tcBorders>
            <w:vAlign w:val="center"/>
          </w:tcPr>
          <w:p w14:paraId="7015AF92">
            <w:pPr>
              <w:pStyle w:val="20"/>
              <w:spacing w:before="157" w:line="357" w:lineRule="exact"/>
              <w:jc w:val="center"/>
              <w:rPr>
                <w:rFonts w:hint="default" w:ascii="Times New Roman" w:hAnsi="Times New Roman" w:eastAsia="楷体" w:cs="Times New Roman"/>
                <w:color w:val="auto"/>
                <w:highlight w:val="none"/>
                <w:lang w:eastAsia="zh-CN"/>
              </w:rPr>
            </w:pPr>
            <w:r>
              <w:rPr>
                <w:rFonts w:hint="default" w:ascii="Times New Roman" w:hAnsi="Times New Roman" w:eastAsia="楷体" w:cs="Times New Roman"/>
                <w:color w:val="auto"/>
                <w:spacing w:val="-2"/>
                <w:position w:val="2"/>
                <w:highlight w:val="none"/>
                <w:lang w:eastAsia="zh-CN"/>
              </w:rPr>
              <w:t>非化石能源消费总量比重（%）</w:t>
            </w:r>
          </w:p>
        </w:tc>
        <w:tc>
          <w:tcPr>
            <w:tcW w:w="779" w:type="pct"/>
            <w:tcBorders>
              <w:tl2br w:val="nil"/>
              <w:tr2bl w:val="nil"/>
            </w:tcBorders>
            <w:vAlign w:val="center"/>
          </w:tcPr>
          <w:p w14:paraId="3EA95754">
            <w:pPr>
              <w:spacing w:before="159" w:line="315" w:lineRule="exact"/>
              <w:jc w:val="center"/>
              <w:rPr>
                <w:rFonts w:hint="default" w:ascii="Times New Roman" w:hAnsi="Times New Roman" w:eastAsia="楷体" w:cs="Times New Roman"/>
                <w:color w:val="auto"/>
                <w:sz w:val="24"/>
                <w:szCs w:val="24"/>
                <w:highlight w:val="none"/>
                <w:vertAlign w:val="superscript"/>
                <w:lang w:val="en-US" w:eastAsia="zh-CN"/>
              </w:rPr>
            </w:pPr>
            <w:r>
              <w:rPr>
                <w:rFonts w:hint="default" w:ascii="Times New Roman" w:hAnsi="Times New Roman" w:eastAsia="楷体" w:cs="Times New Roman"/>
                <w:color w:val="auto"/>
                <w:spacing w:val="2"/>
                <w:position w:val="-2"/>
                <w:sz w:val="24"/>
                <w:szCs w:val="24"/>
                <w:highlight w:val="none"/>
              </w:rPr>
              <w:t>——</w:t>
            </w:r>
          </w:p>
        </w:tc>
        <w:tc>
          <w:tcPr>
            <w:tcW w:w="747" w:type="pct"/>
            <w:tcBorders>
              <w:tl2br w:val="nil"/>
              <w:tr2bl w:val="nil"/>
            </w:tcBorders>
            <w:vAlign w:val="center"/>
          </w:tcPr>
          <w:p w14:paraId="42AD6DA5">
            <w:pPr>
              <w:pStyle w:val="20"/>
              <w:spacing w:before="39" w:line="205" w:lineRule="auto"/>
              <w:jc w:val="center"/>
              <w:rPr>
                <w:rFonts w:hint="default" w:ascii="Times New Roman" w:hAnsi="Times New Roman" w:eastAsia="楷体" w:cs="Times New Roman"/>
                <w:color w:val="auto"/>
                <w:spacing w:val="-5"/>
                <w:highlight w:val="none"/>
                <w:lang w:eastAsia="zh-CN"/>
              </w:rPr>
            </w:pPr>
            <w:r>
              <w:rPr>
                <w:rFonts w:hint="default" w:ascii="Times New Roman" w:hAnsi="Times New Roman" w:eastAsia="楷体" w:cs="Times New Roman"/>
                <w:color w:val="auto"/>
                <w:spacing w:val="-5"/>
                <w:highlight w:val="none"/>
              </w:rPr>
              <w:t>达到</w:t>
            </w:r>
            <w:r>
              <w:rPr>
                <w:rFonts w:hint="default" w:ascii="Times New Roman" w:hAnsi="Times New Roman" w:eastAsia="楷体" w:cs="Times New Roman"/>
                <w:color w:val="auto"/>
                <w:spacing w:val="-5"/>
                <w:highlight w:val="none"/>
                <w:lang w:eastAsia="zh-CN"/>
              </w:rPr>
              <w:t>省</w:t>
            </w:r>
          </w:p>
          <w:p w14:paraId="739D9970">
            <w:pPr>
              <w:pStyle w:val="20"/>
              <w:spacing w:before="39" w:line="205" w:lineRule="auto"/>
              <w:jc w:val="center"/>
              <w:rPr>
                <w:rFonts w:hint="default" w:ascii="Times New Roman" w:hAnsi="Times New Roman" w:eastAsia="楷体" w:cs="Times New Roman"/>
                <w:color w:val="auto"/>
                <w:highlight w:val="none"/>
              </w:rPr>
            </w:pPr>
            <w:r>
              <w:rPr>
                <w:rFonts w:hint="default" w:ascii="Times New Roman" w:hAnsi="Times New Roman" w:eastAsia="楷体" w:cs="Times New Roman"/>
                <w:color w:val="auto"/>
                <w:spacing w:val="-5"/>
                <w:highlight w:val="none"/>
              </w:rPr>
              <w:t>下达目标</w:t>
            </w:r>
          </w:p>
        </w:tc>
        <w:tc>
          <w:tcPr>
            <w:tcW w:w="734" w:type="pct"/>
            <w:tcBorders>
              <w:tl2br w:val="nil"/>
              <w:tr2bl w:val="nil"/>
            </w:tcBorders>
            <w:vAlign w:val="center"/>
          </w:tcPr>
          <w:p w14:paraId="5236035C">
            <w:pPr>
              <w:pStyle w:val="20"/>
              <w:spacing w:before="195" w:line="216" w:lineRule="auto"/>
              <w:ind w:left="310"/>
              <w:jc w:val="both"/>
              <w:rPr>
                <w:rFonts w:hint="default" w:ascii="Times New Roman" w:hAnsi="Times New Roman" w:eastAsia="楷体" w:cs="Times New Roman"/>
                <w:color w:val="auto"/>
                <w:highlight w:val="none"/>
              </w:rPr>
            </w:pPr>
            <w:r>
              <w:rPr>
                <w:rFonts w:hint="eastAsia" w:ascii="Times New Roman" w:hAnsi="Times New Roman" w:eastAsia="楷体_GB2312" w:cs="宋体"/>
                <w:b/>
                <w:bCs w:val="0"/>
                <w:color w:val="auto"/>
                <w:sz w:val="24"/>
                <w:highlight w:val="none"/>
                <w:lang w:bidi="ar-SA"/>
              </w:rPr>
              <w:t>约束性</w:t>
            </w:r>
          </w:p>
        </w:tc>
      </w:tr>
      <w:tr w14:paraId="1C98C6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7" w:hRule="atLeast"/>
        </w:trPr>
        <w:tc>
          <w:tcPr>
            <w:tcW w:w="485" w:type="pct"/>
            <w:vMerge w:val="restart"/>
            <w:tcBorders>
              <w:tl2br w:val="nil"/>
              <w:tr2bl w:val="nil"/>
            </w:tcBorders>
            <w:vAlign w:val="center"/>
          </w:tcPr>
          <w:p w14:paraId="1C151487">
            <w:pPr>
              <w:jc w:val="center"/>
              <w:rPr>
                <w:rFonts w:hint="default" w:ascii="Times New Roman" w:hAnsi="Times New Roman" w:eastAsia="楷体" w:cs="Times New Roman"/>
                <w:color w:val="auto"/>
                <w:sz w:val="21"/>
                <w:highlight w:val="none"/>
                <w:lang w:val="en-US" w:eastAsia="zh-CN"/>
              </w:rPr>
            </w:pPr>
            <w:r>
              <w:rPr>
                <w:rFonts w:hint="default" w:ascii="Times New Roman" w:hAnsi="Times New Roman" w:eastAsia="楷体" w:cs="Times New Roman"/>
                <w:color w:val="auto"/>
                <w:sz w:val="21"/>
                <w:highlight w:val="none"/>
                <w:lang w:val="en-US" w:eastAsia="zh-CN"/>
              </w:rPr>
              <w:t>12</w:t>
            </w:r>
          </w:p>
        </w:tc>
        <w:tc>
          <w:tcPr>
            <w:tcW w:w="487" w:type="pct"/>
            <w:vMerge w:val="continue"/>
            <w:tcBorders>
              <w:tl2br w:val="nil"/>
              <w:tr2bl w:val="nil"/>
            </w:tcBorders>
            <w:vAlign w:val="center"/>
          </w:tcPr>
          <w:p w14:paraId="48419293">
            <w:pPr>
              <w:jc w:val="center"/>
              <w:rPr>
                <w:rFonts w:hint="default" w:ascii="Times New Roman" w:hAnsi="Times New Roman" w:eastAsia="楷体" w:cs="Times New Roman"/>
                <w:color w:val="auto"/>
                <w:sz w:val="21"/>
                <w:highlight w:val="none"/>
              </w:rPr>
            </w:pPr>
          </w:p>
        </w:tc>
        <w:tc>
          <w:tcPr>
            <w:tcW w:w="646" w:type="pct"/>
            <w:vMerge w:val="restart"/>
            <w:tcBorders>
              <w:tl2br w:val="nil"/>
              <w:tr2bl w:val="nil"/>
            </w:tcBorders>
            <w:vAlign w:val="center"/>
          </w:tcPr>
          <w:p w14:paraId="501412B6">
            <w:pPr>
              <w:pStyle w:val="20"/>
              <w:spacing w:before="33" w:line="204" w:lineRule="auto"/>
              <w:jc w:val="center"/>
              <w:rPr>
                <w:rFonts w:hint="default" w:ascii="Times New Roman" w:hAnsi="Times New Roman" w:eastAsia="楷体" w:cs="Times New Roman"/>
                <w:color w:val="auto"/>
                <w:highlight w:val="none"/>
              </w:rPr>
            </w:pPr>
            <w:r>
              <w:rPr>
                <w:rFonts w:hint="default" w:ascii="Times New Roman" w:hAnsi="Times New Roman" w:eastAsia="楷体" w:cs="Times New Roman"/>
                <w:bCs/>
                <w:color w:val="auto"/>
                <w:kern w:val="0"/>
                <w:sz w:val="24"/>
                <w:highlight w:val="none"/>
                <w:lang w:bidi="ar-SA"/>
              </w:rPr>
              <w:t>主要污染物排放总量下降</w:t>
            </w:r>
          </w:p>
        </w:tc>
        <w:tc>
          <w:tcPr>
            <w:tcW w:w="1120" w:type="pct"/>
            <w:tcBorders>
              <w:tl2br w:val="nil"/>
              <w:tr2bl w:val="nil"/>
            </w:tcBorders>
            <w:vAlign w:val="center"/>
          </w:tcPr>
          <w:p w14:paraId="65B52251">
            <w:pPr>
              <w:widowControl/>
              <w:snapToGrid w:val="0"/>
              <w:jc w:val="center"/>
              <w:rPr>
                <w:rFonts w:hint="default" w:ascii="Times New Roman" w:hAnsi="Times New Roman" w:eastAsia="楷体" w:cs="Times New Roman"/>
                <w:color w:val="auto"/>
                <w:highlight w:val="none"/>
              </w:rPr>
            </w:pPr>
            <w:r>
              <w:rPr>
                <w:rFonts w:hint="default" w:ascii="Times New Roman" w:hAnsi="Times New Roman" w:eastAsia="楷体" w:cs="Times New Roman"/>
                <w:bCs/>
                <w:color w:val="auto"/>
                <w:kern w:val="0"/>
                <w:sz w:val="24"/>
                <w:highlight w:val="none"/>
                <w:lang w:bidi="ar-SA"/>
              </w:rPr>
              <w:t>氮氧化物、挥发性有机（VOCs）排放总量分别下降（%）</w:t>
            </w:r>
          </w:p>
        </w:tc>
        <w:tc>
          <w:tcPr>
            <w:tcW w:w="779" w:type="pct"/>
            <w:tcBorders>
              <w:tl2br w:val="nil"/>
              <w:tr2bl w:val="nil"/>
            </w:tcBorders>
            <w:vAlign w:val="center"/>
          </w:tcPr>
          <w:p w14:paraId="0C7D54BA">
            <w:pPr>
              <w:spacing w:before="69" w:line="114" w:lineRule="exact"/>
              <w:jc w:val="center"/>
              <w:rPr>
                <w:rFonts w:hint="default" w:ascii="Times New Roman" w:hAnsi="Times New Roman" w:eastAsia="楷体" w:cs="Times New Roman"/>
                <w:color w:val="auto"/>
                <w:sz w:val="24"/>
                <w:szCs w:val="24"/>
                <w:highlight w:val="none"/>
              </w:rPr>
            </w:pPr>
            <w:r>
              <w:rPr>
                <w:rFonts w:hint="default" w:ascii="Times New Roman" w:hAnsi="Times New Roman" w:eastAsia="楷体" w:cs="Times New Roman"/>
                <w:color w:val="auto"/>
                <w:spacing w:val="2"/>
                <w:position w:val="-2"/>
                <w:sz w:val="24"/>
                <w:szCs w:val="24"/>
                <w:highlight w:val="none"/>
              </w:rPr>
              <w:t>——</w:t>
            </w:r>
          </w:p>
        </w:tc>
        <w:tc>
          <w:tcPr>
            <w:tcW w:w="747" w:type="pct"/>
            <w:tcBorders>
              <w:tl2br w:val="nil"/>
              <w:tr2bl w:val="nil"/>
            </w:tcBorders>
            <w:vAlign w:val="center"/>
          </w:tcPr>
          <w:p w14:paraId="1897D0DA">
            <w:pPr>
              <w:pStyle w:val="20"/>
              <w:spacing w:before="40" w:line="204" w:lineRule="auto"/>
              <w:jc w:val="center"/>
              <w:rPr>
                <w:rFonts w:hint="default" w:ascii="Times New Roman" w:hAnsi="Times New Roman" w:eastAsia="楷体" w:cs="Times New Roman"/>
                <w:color w:val="auto"/>
                <w:spacing w:val="-5"/>
                <w:highlight w:val="none"/>
              </w:rPr>
            </w:pPr>
            <w:r>
              <w:rPr>
                <w:rFonts w:hint="default" w:ascii="Times New Roman" w:hAnsi="Times New Roman" w:eastAsia="楷体" w:cs="Times New Roman"/>
                <w:color w:val="auto"/>
                <w:spacing w:val="-5"/>
                <w:highlight w:val="none"/>
              </w:rPr>
              <w:t>达到</w:t>
            </w:r>
            <w:r>
              <w:rPr>
                <w:rFonts w:hint="default" w:ascii="Times New Roman" w:hAnsi="Times New Roman" w:eastAsia="楷体" w:cs="Times New Roman"/>
                <w:color w:val="auto"/>
                <w:spacing w:val="-5"/>
                <w:highlight w:val="none"/>
                <w:lang w:eastAsia="zh-CN"/>
              </w:rPr>
              <w:t>省</w:t>
            </w:r>
            <w:r>
              <w:rPr>
                <w:rFonts w:hint="default" w:ascii="Times New Roman" w:hAnsi="Times New Roman" w:eastAsia="楷体" w:cs="Times New Roman"/>
                <w:color w:val="auto"/>
                <w:spacing w:val="-5"/>
                <w:highlight w:val="none"/>
              </w:rPr>
              <w:t>下</w:t>
            </w:r>
          </w:p>
          <w:p w14:paraId="142A40BD">
            <w:pPr>
              <w:pStyle w:val="20"/>
              <w:spacing w:before="40" w:line="204" w:lineRule="auto"/>
              <w:jc w:val="center"/>
              <w:rPr>
                <w:rFonts w:hint="default" w:ascii="Times New Roman" w:hAnsi="Times New Roman" w:eastAsia="楷体" w:cs="Times New Roman"/>
                <w:color w:val="auto"/>
                <w:highlight w:val="none"/>
              </w:rPr>
            </w:pPr>
            <w:r>
              <w:rPr>
                <w:rFonts w:hint="default" w:ascii="Times New Roman" w:hAnsi="Times New Roman" w:eastAsia="楷体" w:cs="Times New Roman"/>
                <w:color w:val="auto"/>
                <w:spacing w:val="-5"/>
                <w:highlight w:val="none"/>
              </w:rPr>
              <w:t>达目标</w:t>
            </w:r>
          </w:p>
        </w:tc>
        <w:tc>
          <w:tcPr>
            <w:tcW w:w="734" w:type="pct"/>
            <w:vMerge w:val="restart"/>
            <w:tcBorders>
              <w:tl2br w:val="nil"/>
              <w:tr2bl w:val="nil"/>
            </w:tcBorders>
            <w:vAlign w:val="center"/>
          </w:tcPr>
          <w:p w14:paraId="362FF66F">
            <w:pPr>
              <w:pStyle w:val="20"/>
              <w:spacing w:before="78" w:line="214" w:lineRule="auto"/>
              <w:ind w:left="326"/>
              <w:jc w:val="both"/>
              <w:rPr>
                <w:rFonts w:hint="default" w:ascii="Times New Roman" w:hAnsi="Times New Roman" w:eastAsia="楷体" w:cs="Times New Roman"/>
                <w:color w:val="auto"/>
                <w:highlight w:val="none"/>
              </w:rPr>
            </w:pPr>
            <w:r>
              <w:rPr>
                <w:rFonts w:hint="default" w:ascii="Times New Roman" w:hAnsi="Times New Roman" w:eastAsia="楷体" w:cs="Times New Roman"/>
                <w:b/>
                <w:bCs/>
                <w:color w:val="auto"/>
                <w:spacing w:val="-8"/>
                <w:highlight w:val="none"/>
              </w:rPr>
              <w:t>约束性</w:t>
            </w:r>
          </w:p>
        </w:tc>
      </w:tr>
      <w:tr w14:paraId="39A987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7" w:hRule="atLeast"/>
        </w:trPr>
        <w:tc>
          <w:tcPr>
            <w:tcW w:w="485" w:type="pct"/>
            <w:vMerge w:val="continue"/>
            <w:tcBorders>
              <w:tl2br w:val="nil"/>
              <w:tr2bl w:val="nil"/>
            </w:tcBorders>
            <w:vAlign w:val="center"/>
          </w:tcPr>
          <w:p w14:paraId="176773CB">
            <w:pPr>
              <w:jc w:val="center"/>
              <w:rPr>
                <w:rFonts w:hint="default" w:ascii="Times New Roman" w:hAnsi="Times New Roman" w:eastAsia="楷体" w:cs="Times New Roman"/>
                <w:color w:val="auto"/>
                <w:sz w:val="21"/>
                <w:highlight w:val="none"/>
                <w:lang w:val="en-US" w:eastAsia="zh-CN"/>
              </w:rPr>
            </w:pPr>
          </w:p>
        </w:tc>
        <w:tc>
          <w:tcPr>
            <w:tcW w:w="487" w:type="pct"/>
            <w:vMerge w:val="continue"/>
            <w:tcBorders>
              <w:tl2br w:val="nil"/>
              <w:tr2bl w:val="nil"/>
            </w:tcBorders>
            <w:vAlign w:val="center"/>
          </w:tcPr>
          <w:p w14:paraId="172190F9">
            <w:pPr>
              <w:jc w:val="center"/>
              <w:rPr>
                <w:rFonts w:hint="default" w:ascii="Times New Roman" w:hAnsi="Times New Roman" w:eastAsia="楷体" w:cs="Times New Roman"/>
                <w:color w:val="auto"/>
                <w:sz w:val="21"/>
                <w:highlight w:val="none"/>
              </w:rPr>
            </w:pPr>
          </w:p>
        </w:tc>
        <w:tc>
          <w:tcPr>
            <w:tcW w:w="646" w:type="pct"/>
            <w:vMerge w:val="continue"/>
            <w:tcBorders>
              <w:tl2br w:val="nil"/>
              <w:tr2bl w:val="nil"/>
            </w:tcBorders>
            <w:vAlign w:val="center"/>
          </w:tcPr>
          <w:p w14:paraId="52DC18F4">
            <w:pPr>
              <w:pStyle w:val="20"/>
              <w:spacing w:before="33" w:line="204" w:lineRule="auto"/>
              <w:ind w:left="1628"/>
              <w:jc w:val="center"/>
              <w:rPr>
                <w:rFonts w:hint="default" w:ascii="Times New Roman" w:hAnsi="Times New Roman" w:eastAsia="楷体" w:cs="Times New Roman"/>
                <w:b/>
                <w:bCs/>
                <w:color w:val="auto"/>
                <w:spacing w:val="-15"/>
                <w:highlight w:val="none"/>
              </w:rPr>
            </w:pPr>
          </w:p>
        </w:tc>
        <w:tc>
          <w:tcPr>
            <w:tcW w:w="1120" w:type="pct"/>
            <w:tcBorders>
              <w:tl2br w:val="nil"/>
              <w:tr2bl w:val="nil"/>
            </w:tcBorders>
            <w:vAlign w:val="center"/>
          </w:tcPr>
          <w:p w14:paraId="370C3A68">
            <w:pPr>
              <w:widowControl/>
              <w:snapToGrid w:val="0"/>
              <w:jc w:val="center"/>
              <w:rPr>
                <w:rFonts w:hint="default" w:ascii="Times New Roman" w:hAnsi="Times New Roman" w:eastAsia="楷体" w:cs="Times New Roman"/>
                <w:b/>
                <w:bCs/>
                <w:color w:val="auto"/>
                <w:spacing w:val="-15"/>
                <w:highlight w:val="none"/>
              </w:rPr>
            </w:pPr>
            <w:r>
              <w:rPr>
                <w:rFonts w:hint="default" w:ascii="Times New Roman" w:hAnsi="Times New Roman" w:eastAsia="楷体" w:cs="Times New Roman"/>
                <w:bCs/>
                <w:color w:val="auto"/>
                <w:kern w:val="0"/>
                <w:sz w:val="24"/>
                <w:highlight w:val="none"/>
                <w:lang w:bidi="ar-SA"/>
              </w:rPr>
              <w:t>化学需氧量、总磷排放总量分别下降（%）</w:t>
            </w:r>
          </w:p>
        </w:tc>
        <w:tc>
          <w:tcPr>
            <w:tcW w:w="779" w:type="pct"/>
            <w:tcBorders>
              <w:tl2br w:val="nil"/>
              <w:tr2bl w:val="nil"/>
            </w:tcBorders>
            <w:vAlign w:val="center"/>
          </w:tcPr>
          <w:p w14:paraId="3E8DDAE7">
            <w:pPr>
              <w:spacing w:before="69" w:line="114" w:lineRule="exact"/>
              <w:jc w:val="center"/>
              <w:rPr>
                <w:rFonts w:hint="default" w:ascii="Times New Roman" w:hAnsi="Times New Roman" w:eastAsia="楷体" w:cs="Times New Roman"/>
                <w:color w:val="auto"/>
                <w:spacing w:val="2"/>
                <w:position w:val="-2"/>
                <w:sz w:val="24"/>
                <w:szCs w:val="24"/>
                <w:highlight w:val="none"/>
              </w:rPr>
            </w:pPr>
            <w:r>
              <w:rPr>
                <w:rFonts w:hint="default" w:ascii="Times New Roman" w:hAnsi="Times New Roman" w:eastAsia="楷体" w:cs="Times New Roman"/>
                <w:color w:val="auto"/>
                <w:spacing w:val="2"/>
                <w:position w:val="-2"/>
                <w:sz w:val="24"/>
                <w:szCs w:val="24"/>
                <w:highlight w:val="none"/>
              </w:rPr>
              <w:t>——</w:t>
            </w:r>
          </w:p>
        </w:tc>
        <w:tc>
          <w:tcPr>
            <w:tcW w:w="747" w:type="pct"/>
            <w:tcBorders>
              <w:tl2br w:val="nil"/>
              <w:tr2bl w:val="nil"/>
            </w:tcBorders>
            <w:vAlign w:val="center"/>
          </w:tcPr>
          <w:p w14:paraId="63247B7E">
            <w:pPr>
              <w:pStyle w:val="20"/>
              <w:spacing w:before="40" w:line="204" w:lineRule="auto"/>
              <w:jc w:val="center"/>
              <w:rPr>
                <w:rFonts w:hint="default" w:ascii="Times New Roman" w:hAnsi="Times New Roman" w:eastAsia="楷体" w:cs="Times New Roman"/>
                <w:color w:val="auto"/>
                <w:spacing w:val="-5"/>
                <w:highlight w:val="none"/>
              </w:rPr>
            </w:pPr>
            <w:r>
              <w:rPr>
                <w:rFonts w:hint="default" w:ascii="Times New Roman" w:hAnsi="Times New Roman" w:eastAsia="楷体" w:cs="Times New Roman"/>
                <w:color w:val="auto"/>
                <w:spacing w:val="-5"/>
                <w:highlight w:val="none"/>
              </w:rPr>
              <w:t>达到</w:t>
            </w:r>
            <w:r>
              <w:rPr>
                <w:rFonts w:hint="default" w:ascii="Times New Roman" w:hAnsi="Times New Roman" w:eastAsia="楷体" w:cs="Times New Roman"/>
                <w:color w:val="auto"/>
                <w:spacing w:val="-5"/>
                <w:highlight w:val="none"/>
                <w:lang w:eastAsia="zh-CN"/>
              </w:rPr>
              <w:t>省</w:t>
            </w:r>
            <w:r>
              <w:rPr>
                <w:rFonts w:hint="default" w:ascii="Times New Roman" w:hAnsi="Times New Roman" w:eastAsia="楷体" w:cs="Times New Roman"/>
                <w:color w:val="auto"/>
                <w:spacing w:val="-5"/>
                <w:highlight w:val="none"/>
              </w:rPr>
              <w:t>下</w:t>
            </w:r>
          </w:p>
          <w:p w14:paraId="1FF2EEBD">
            <w:pPr>
              <w:pStyle w:val="20"/>
              <w:spacing w:before="40" w:line="204" w:lineRule="auto"/>
              <w:jc w:val="center"/>
              <w:rPr>
                <w:rFonts w:hint="default" w:ascii="Times New Roman" w:hAnsi="Times New Roman" w:eastAsia="楷体" w:cs="Times New Roman"/>
                <w:color w:val="auto"/>
                <w:spacing w:val="-5"/>
                <w:highlight w:val="none"/>
              </w:rPr>
            </w:pPr>
            <w:r>
              <w:rPr>
                <w:rFonts w:hint="default" w:ascii="Times New Roman" w:hAnsi="Times New Roman" w:eastAsia="楷体" w:cs="Times New Roman"/>
                <w:color w:val="auto"/>
                <w:spacing w:val="-5"/>
                <w:highlight w:val="none"/>
              </w:rPr>
              <w:t>达目标</w:t>
            </w:r>
          </w:p>
        </w:tc>
        <w:tc>
          <w:tcPr>
            <w:tcW w:w="734" w:type="pct"/>
            <w:vMerge w:val="continue"/>
            <w:tcBorders>
              <w:tl2br w:val="nil"/>
              <w:tr2bl w:val="nil"/>
            </w:tcBorders>
            <w:vAlign w:val="center"/>
          </w:tcPr>
          <w:p w14:paraId="46E6505D">
            <w:pPr>
              <w:pStyle w:val="20"/>
              <w:spacing w:before="78" w:line="214" w:lineRule="auto"/>
              <w:jc w:val="center"/>
              <w:rPr>
                <w:rFonts w:hint="default" w:ascii="Times New Roman" w:hAnsi="Times New Roman" w:eastAsia="楷体" w:cs="Times New Roman"/>
                <w:b/>
                <w:bCs/>
                <w:color w:val="auto"/>
                <w:spacing w:val="-8"/>
                <w:highlight w:val="none"/>
              </w:rPr>
            </w:pPr>
          </w:p>
        </w:tc>
      </w:tr>
      <w:tr w14:paraId="6939A3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485" w:type="pct"/>
            <w:tcBorders>
              <w:tl2br w:val="nil"/>
              <w:tr2bl w:val="nil"/>
            </w:tcBorders>
            <w:vAlign w:val="center"/>
          </w:tcPr>
          <w:p w14:paraId="00CDC96A">
            <w:pPr>
              <w:pStyle w:val="20"/>
              <w:spacing w:before="203" w:line="243" w:lineRule="auto"/>
              <w:ind w:left="167" w:right="155"/>
              <w:jc w:val="center"/>
              <w:rPr>
                <w:rFonts w:hint="default" w:ascii="Times New Roman" w:hAnsi="Times New Roman" w:eastAsia="楷体" w:cs="Times New Roman"/>
                <w:color w:val="auto"/>
                <w:spacing w:val="-5"/>
                <w:highlight w:val="none"/>
                <w:lang w:val="en-US" w:eastAsia="zh-CN"/>
              </w:rPr>
            </w:pPr>
            <w:r>
              <w:rPr>
                <w:rFonts w:hint="default" w:ascii="Times New Roman" w:hAnsi="Times New Roman" w:eastAsia="楷体" w:cs="Times New Roman"/>
                <w:color w:val="auto"/>
                <w:spacing w:val="-5"/>
                <w:highlight w:val="none"/>
                <w:lang w:val="en-US" w:eastAsia="zh-CN"/>
              </w:rPr>
              <w:t>13</w:t>
            </w:r>
          </w:p>
        </w:tc>
        <w:tc>
          <w:tcPr>
            <w:tcW w:w="487" w:type="pct"/>
            <w:vMerge w:val="restart"/>
            <w:tcBorders>
              <w:tl2br w:val="nil"/>
              <w:tr2bl w:val="nil"/>
            </w:tcBorders>
            <w:vAlign w:val="center"/>
          </w:tcPr>
          <w:p w14:paraId="653C0063">
            <w:pPr>
              <w:pStyle w:val="20"/>
              <w:spacing w:before="203" w:line="243" w:lineRule="auto"/>
              <w:ind w:left="167" w:right="155"/>
              <w:jc w:val="center"/>
              <w:rPr>
                <w:rFonts w:hint="default" w:ascii="Times New Roman" w:hAnsi="Times New Roman" w:eastAsia="楷体" w:cs="Times New Roman"/>
                <w:color w:val="auto"/>
                <w:highlight w:val="none"/>
              </w:rPr>
            </w:pPr>
            <w:r>
              <w:rPr>
                <w:rFonts w:hint="default" w:ascii="Times New Roman" w:hAnsi="Times New Roman" w:eastAsia="楷体" w:cs="Times New Roman"/>
                <w:color w:val="auto"/>
                <w:spacing w:val="-5"/>
                <w:highlight w:val="none"/>
              </w:rPr>
              <w:t>生态系统保护</w:t>
            </w:r>
          </w:p>
        </w:tc>
        <w:tc>
          <w:tcPr>
            <w:tcW w:w="1766" w:type="pct"/>
            <w:gridSpan w:val="2"/>
            <w:tcBorders>
              <w:tl2br w:val="nil"/>
              <w:tr2bl w:val="nil"/>
            </w:tcBorders>
            <w:vAlign w:val="center"/>
          </w:tcPr>
          <w:p w14:paraId="2F041318">
            <w:pPr>
              <w:pStyle w:val="20"/>
              <w:spacing w:before="40" w:line="204" w:lineRule="auto"/>
              <w:jc w:val="center"/>
              <w:rPr>
                <w:rFonts w:hint="default" w:ascii="Times New Roman" w:hAnsi="Times New Roman" w:eastAsia="楷体" w:cs="Times New Roman"/>
                <w:color w:val="auto"/>
                <w:spacing w:val="-5"/>
                <w:highlight w:val="none"/>
              </w:rPr>
            </w:pPr>
            <w:r>
              <w:rPr>
                <w:rFonts w:hint="default" w:ascii="Times New Roman" w:hAnsi="Times New Roman" w:eastAsia="楷体" w:cs="Times New Roman"/>
                <w:color w:val="auto"/>
                <w:spacing w:val="-5"/>
                <w:highlight w:val="none"/>
              </w:rPr>
              <w:t>森林覆盖率（%）</w:t>
            </w:r>
          </w:p>
        </w:tc>
        <w:tc>
          <w:tcPr>
            <w:tcW w:w="779" w:type="pct"/>
            <w:tcBorders>
              <w:tl2br w:val="nil"/>
              <w:tr2bl w:val="nil"/>
            </w:tcBorders>
            <w:vAlign w:val="center"/>
          </w:tcPr>
          <w:p w14:paraId="786509DB">
            <w:pPr>
              <w:pStyle w:val="20"/>
              <w:spacing w:before="40" w:line="204" w:lineRule="auto"/>
              <w:jc w:val="center"/>
              <w:rPr>
                <w:rFonts w:hint="default" w:ascii="Times New Roman" w:hAnsi="Times New Roman" w:eastAsia="楷体" w:cs="Times New Roman"/>
                <w:color w:val="auto"/>
                <w:spacing w:val="-5"/>
                <w:highlight w:val="none"/>
                <w:lang w:val="en-US" w:eastAsia="zh-CN"/>
              </w:rPr>
            </w:pPr>
            <w:r>
              <w:rPr>
                <w:rFonts w:hint="default" w:ascii="Times New Roman" w:hAnsi="Times New Roman" w:eastAsia="楷体" w:cs="Times New Roman"/>
                <w:color w:val="auto"/>
                <w:spacing w:val="-5"/>
                <w:highlight w:val="none"/>
                <w:lang w:val="en-US" w:eastAsia="zh-CN"/>
              </w:rPr>
              <w:t>10.23</w:t>
            </w:r>
          </w:p>
        </w:tc>
        <w:tc>
          <w:tcPr>
            <w:tcW w:w="747" w:type="pct"/>
            <w:tcBorders>
              <w:tl2br w:val="nil"/>
              <w:tr2bl w:val="nil"/>
            </w:tcBorders>
            <w:vAlign w:val="center"/>
          </w:tcPr>
          <w:p w14:paraId="33BA8FF1">
            <w:pPr>
              <w:pStyle w:val="20"/>
              <w:spacing w:before="40" w:line="204" w:lineRule="auto"/>
              <w:jc w:val="center"/>
              <w:rPr>
                <w:rFonts w:hint="default" w:ascii="Times New Roman" w:hAnsi="Times New Roman" w:eastAsia="楷体" w:cs="Times New Roman"/>
                <w:color w:val="auto"/>
                <w:spacing w:val="-5"/>
                <w:highlight w:val="none"/>
                <w:lang w:val="en-US" w:eastAsia="zh-CN"/>
              </w:rPr>
            </w:pPr>
            <w:r>
              <w:rPr>
                <w:rFonts w:hint="default" w:ascii="Times New Roman" w:hAnsi="Times New Roman" w:eastAsia="楷体" w:cs="Times New Roman"/>
                <w:color w:val="auto"/>
                <w:spacing w:val="-5"/>
                <w:highlight w:val="none"/>
                <w:lang w:val="en-US" w:eastAsia="zh-CN"/>
              </w:rPr>
              <w:t>10.28</w:t>
            </w:r>
          </w:p>
        </w:tc>
        <w:tc>
          <w:tcPr>
            <w:tcW w:w="734" w:type="pct"/>
            <w:tcBorders>
              <w:tl2br w:val="nil"/>
              <w:tr2bl w:val="nil"/>
            </w:tcBorders>
            <w:vAlign w:val="center"/>
          </w:tcPr>
          <w:p w14:paraId="6C18351B">
            <w:pPr>
              <w:pStyle w:val="20"/>
              <w:spacing w:before="78" w:line="214" w:lineRule="auto"/>
              <w:jc w:val="center"/>
              <w:rPr>
                <w:rFonts w:hint="default" w:ascii="Times New Roman" w:hAnsi="Times New Roman" w:eastAsia="楷体" w:cs="Times New Roman"/>
                <w:color w:val="auto"/>
                <w:spacing w:val="-5"/>
                <w:highlight w:val="none"/>
              </w:rPr>
            </w:pPr>
            <w:r>
              <w:rPr>
                <w:rFonts w:hint="eastAsia" w:ascii="Times New Roman" w:hAnsi="Times New Roman" w:eastAsia="楷体" w:cs="Times New Roman"/>
                <w:b/>
                <w:bCs/>
                <w:color w:val="auto"/>
                <w:spacing w:val="-8"/>
                <w:highlight w:val="none"/>
              </w:rPr>
              <w:t>约束性</w:t>
            </w:r>
          </w:p>
        </w:tc>
      </w:tr>
      <w:tr w14:paraId="038F2C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485" w:type="pct"/>
            <w:tcBorders>
              <w:tl2br w:val="nil"/>
              <w:tr2bl w:val="nil"/>
            </w:tcBorders>
            <w:vAlign w:val="center"/>
          </w:tcPr>
          <w:p w14:paraId="618A2540">
            <w:pPr>
              <w:jc w:val="center"/>
              <w:rPr>
                <w:rFonts w:hint="default" w:ascii="Times New Roman" w:hAnsi="Times New Roman" w:eastAsia="楷体" w:cs="Times New Roman"/>
                <w:color w:val="auto"/>
                <w:sz w:val="21"/>
                <w:highlight w:val="none"/>
                <w:lang w:val="en-US" w:eastAsia="zh-CN"/>
              </w:rPr>
            </w:pPr>
            <w:r>
              <w:rPr>
                <w:rFonts w:hint="default" w:ascii="Times New Roman" w:hAnsi="Times New Roman" w:eastAsia="楷体" w:cs="Times New Roman"/>
                <w:color w:val="auto"/>
                <w:sz w:val="21"/>
                <w:highlight w:val="none"/>
                <w:lang w:val="en-US" w:eastAsia="zh-CN"/>
              </w:rPr>
              <w:t>14</w:t>
            </w:r>
          </w:p>
        </w:tc>
        <w:tc>
          <w:tcPr>
            <w:tcW w:w="487" w:type="pct"/>
            <w:vMerge w:val="continue"/>
            <w:tcBorders>
              <w:tl2br w:val="nil"/>
              <w:tr2bl w:val="nil"/>
            </w:tcBorders>
            <w:vAlign w:val="center"/>
          </w:tcPr>
          <w:p w14:paraId="4DE1FD53">
            <w:pPr>
              <w:jc w:val="center"/>
              <w:rPr>
                <w:rFonts w:hint="default" w:ascii="Times New Roman" w:hAnsi="Times New Roman" w:eastAsia="楷体" w:cs="Times New Roman"/>
                <w:color w:val="auto"/>
                <w:sz w:val="21"/>
                <w:highlight w:val="none"/>
              </w:rPr>
            </w:pPr>
          </w:p>
        </w:tc>
        <w:tc>
          <w:tcPr>
            <w:tcW w:w="1766" w:type="pct"/>
            <w:gridSpan w:val="2"/>
            <w:tcBorders>
              <w:tl2br w:val="nil"/>
              <w:tr2bl w:val="nil"/>
            </w:tcBorders>
            <w:vAlign w:val="center"/>
          </w:tcPr>
          <w:p w14:paraId="179A5E89">
            <w:pPr>
              <w:pStyle w:val="20"/>
              <w:spacing w:before="39" w:line="205" w:lineRule="auto"/>
              <w:jc w:val="center"/>
              <w:rPr>
                <w:rFonts w:hint="default" w:ascii="Times New Roman" w:hAnsi="Times New Roman" w:eastAsia="楷体" w:cs="Times New Roman"/>
                <w:color w:val="auto"/>
                <w:highlight w:val="none"/>
                <w:lang w:eastAsia="zh-CN"/>
              </w:rPr>
            </w:pPr>
            <w:r>
              <w:rPr>
                <w:rFonts w:hint="default" w:ascii="Times New Roman" w:hAnsi="Times New Roman" w:eastAsia="楷体" w:cs="Times New Roman"/>
                <w:color w:val="auto"/>
                <w:spacing w:val="-2"/>
                <w:highlight w:val="none"/>
                <w:lang w:eastAsia="zh-CN"/>
              </w:rPr>
              <w:t>生态质量指数（EQI）</w:t>
            </w:r>
          </w:p>
        </w:tc>
        <w:tc>
          <w:tcPr>
            <w:tcW w:w="779" w:type="pct"/>
            <w:tcBorders>
              <w:tl2br w:val="nil"/>
              <w:tr2bl w:val="nil"/>
            </w:tcBorders>
            <w:vAlign w:val="center"/>
          </w:tcPr>
          <w:p w14:paraId="1791A18F">
            <w:pPr>
              <w:spacing w:before="3" w:line="302" w:lineRule="exact"/>
              <w:jc w:val="center"/>
              <w:rPr>
                <w:rFonts w:hint="default" w:ascii="Times New Roman" w:hAnsi="Times New Roman" w:eastAsia="楷体" w:cs="Times New Roman"/>
                <w:color w:val="auto"/>
                <w:sz w:val="24"/>
                <w:szCs w:val="24"/>
                <w:highlight w:val="none"/>
              </w:rPr>
            </w:pPr>
            <w:r>
              <w:rPr>
                <w:rFonts w:hint="default" w:ascii="Times New Roman" w:hAnsi="Times New Roman" w:eastAsia="楷体" w:cs="Times New Roman"/>
                <w:color w:val="auto"/>
                <w:sz w:val="24"/>
                <w:szCs w:val="24"/>
                <w:highlight w:val="none"/>
                <w:lang w:val="en-US" w:eastAsia="zh-CN"/>
              </w:rPr>
              <w:t>57.28（三年滑动）</w:t>
            </w:r>
          </w:p>
        </w:tc>
        <w:tc>
          <w:tcPr>
            <w:tcW w:w="747" w:type="pct"/>
            <w:tcBorders>
              <w:tl2br w:val="nil"/>
              <w:tr2bl w:val="nil"/>
            </w:tcBorders>
            <w:vAlign w:val="center"/>
          </w:tcPr>
          <w:p w14:paraId="0B1DC920">
            <w:pPr>
              <w:pStyle w:val="20"/>
              <w:spacing w:before="39" w:line="205" w:lineRule="auto"/>
              <w:jc w:val="center"/>
              <w:rPr>
                <w:rFonts w:hint="default" w:ascii="Times New Roman" w:hAnsi="Times New Roman" w:eastAsia="楷体" w:cs="Times New Roman"/>
                <w:color w:val="auto"/>
                <w:highlight w:val="none"/>
              </w:rPr>
            </w:pPr>
            <w:r>
              <w:rPr>
                <w:rFonts w:hint="default" w:ascii="Times New Roman" w:hAnsi="Times New Roman" w:eastAsia="楷体" w:cs="Times New Roman"/>
                <w:color w:val="auto"/>
                <w:highlight w:val="none"/>
              </w:rPr>
              <w:t>保持稳定</w:t>
            </w:r>
          </w:p>
        </w:tc>
        <w:tc>
          <w:tcPr>
            <w:tcW w:w="734" w:type="pct"/>
            <w:tcBorders>
              <w:tl2br w:val="nil"/>
              <w:tr2bl w:val="nil"/>
            </w:tcBorders>
            <w:vAlign w:val="center"/>
          </w:tcPr>
          <w:p w14:paraId="258765E4">
            <w:pPr>
              <w:pStyle w:val="20"/>
              <w:spacing w:before="197" w:line="216" w:lineRule="auto"/>
              <w:jc w:val="center"/>
              <w:rPr>
                <w:rFonts w:hint="default" w:ascii="Times New Roman" w:hAnsi="Times New Roman" w:eastAsia="楷体" w:cs="Times New Roman"/>
                <w:color w:val="auto"/>
                <w:highlight w:val="none"/>
              </w:rPr>
            </w:pPr>
            <w:r>
              <w:rPr>
                <w:rFonts w:hint="default" w:ascii="Times New Roman" w:hAnsi="Times New Roman" w:eastAsia="楷体" w:cs="Times New Roman"/>
                <w:color w:val="auto"/>
                <w:spacing w:val="-1"/>
                <w:highlight w:val="none"/>
              </w:rPr>
              <w:t>预期性</w:t>
            </w:r>
          </w:p>
        </w:tc>
      </w:tr>
      <w:tr w14:paraId="271430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485" w:type="pct"/>
            <w:tcBorders>
              <w:tl2br w:val="nil"/>
              <w:tr2bl w:val="nil"/>
            </w:tcBorders>
            <w:vAlign w:val="center"/>
          </w:tcPr>
          <w:p w14:paraId="7B8C851F">
            <w:pPr>
              <w:pStyle w:val="20"/>
              <w:spacing w:before="78" w:line="245" w:lineRule="auto"/>
              <w:ind w:left="172" w:right="155" w:hanging="7"/>
              <w:jc w:val="center"/>
              <w:rPr>
                <w:rFonts w:hint="default" w:ascii="Times New Roman" w:hAnsi="Times New Roman" w:eastAsia="楷体" w:cs="Times New Roman"/>
                <w:color w:val="auto"/>
                <w:spacing w:val="-4"/>
                <w:highlight w:val="none"/>
                <w:lang w:val="en-US" w:eastAsia="zh-CN"/>
              </w:rPr>
            </w:pPr>
            <w:r>
              <w:rPr>
                <w:rFonts w:hint="default" w:ascii="Times New Roman" w:hAnsi="Times New Roman" w:eastAsia="楷体" w:cs="Times New Roman"/>
                <w:color w:val="auto"/>
                <w:spacing w:val="-4"/>
                <w:highlight w:val="none"/>
                <w:lang w:val="en-US" w:eastAsia="zh-CN"/>
              </w:rPr>
              <w:t>15</w:t>
            </w:r>
          </w:p>
        </w:tc>
        <w:tc>
          <w:tcPr>
            <w:tcW w:w="487" w:type="pct"/>
            <w:vMerge w:val="restart"/>
            <w:tcBorders>
              <w:tl2br w:val="nil"/>
              <w:tr2bl w:val="nil"/>
            </w:tcBorders>
            <w:vAlign w:val="center"/>
          </w:tcPr>
          <w:p w14:paraId="76D7F07F">
            <w:pPr>
              <w:pStyle w:val="20"/>
              <w:spacing w:before="78" w:line="245" w:lineRule="auto"/>
              <w:ind w:left="172" w:right="155" w:hanging="7"/>
              <w:jc w:val="center"/>
              <w:rPr>
                <w:rFonts w:hint="default" w:ascii="Times New Roman" w:hAnsi="Times New Roman" w:eastAsia="楷体" w:cs="Times New Roman"/>
                <w:color w:val="auto"/>
                <w:highlight w:val="none"/>
              </w:rPr>
            </w:pPr>
            <w:r>
              <w:rPr>
                <w:rFonts w:hint="default" w:ascii="Times New Roman" w:hAnsi="Times New Roman" w:eastAsia="楷体" w:cs="Times New Roman"/>
                <w:color w:val="auto"/>
                <w:spacing w:val="-4"/>
                <w:highlight w:val="none"/>
              </w:rPr>
              <w:t>环境风</w:t>
            </w:r>
            <w:r>
              <w:rPr>
                <w:rFonts w:hint="default" w:ascii="Times New Roman" w:hAnsi="Times New Roman" w:eastAsia="楷体" w:cs="Times New Roman"/>
                <w:color w:val="auto"/>
                <w:spacing w:val="-6"/>
                <w:highlight w:val="none"/>
              </w:rPr>
              <w:t>险防控</w:t>
            </w:r>
          </w:p>
        </w:tc>
        <w:tc>
          <w:tcPr>
            <w:tcW w:w="1766" w:type="pct"/>
            <w:gridSpan w:val="2"/>
            <w:tcBorders>
              <w:tl2br w:val="nil"/>
              <w:tr2bl w:val="nil"/>
            </w:tcBorders>
            <w:vAlign w:val="center"/>
          </w:tcPr>
          <w:p w14:paraId="320F80B6">
            <w:pPr>
              <w:pStyle w:val="20"/>
              <w:spacing w:before="40" w:line="204" w:lineRule="auto"/>
              <w:jc w:val="center"/>
              <w:rPr>
                <w:rFonts w:hint="default" w:ascii="Times New Roman" w:hAnsi="Times New Roman" w:eastAsia="楷体" w:cs="Times New Roman"/>
                <w:color w:val="auto"/>
                <w:highlight w:val="none"/>
              </w:rPr>
            </w:pPr>
            <w:r>
              <w:rPr>
                <w:rFonts w:hint="default" w:ascii="Times New Roman" w:hAnsi="Times New Roman" w:eastAsia="楷体" w:cs="Times New Roman"/>
                <w:color w:val="auto"/>
                <w:spacing w:val="-2"/>
                <w:highlight w:val="none"/>
              </w:rPr>
              <w:t>建设用地安全利用</w:t>
            </w:r>
          </w:p>
        </w:tc>
        <w:tc>
          <w:tcPr>
            <w:tcW w:w="779" w:type="pct"/>
            <w:tcBorders>
              <w:tl2br w:val="nil"/>
              <w:tr2bl w:val="nil"/>
            </w:tcBorders>
            <w:vAlign w:val="center"/>
          </w:tcPr>
          <w:p w14:paraId="3BD90603">
            <w:pPr>
              <w:pStyle w:val="20"/>
              <w:spacing w:before="40" w:line="204" w:lineRule="auto"/>
              <w:jc w:val="center"/>
              <w:rPr>
                <w:rFonts w:hint="default" w:ascii="Times New Roman" w:hAnsi="Times New Roman" w:eastAsia="楷体" w:cs="Times New Roman"/>
                <w:color w:val="auto"/>
                <w:spacing w:val="-2"/>
                <w:highlight w:val="none"/>
                <w:lang w:eastAsia="zh-CN"/>
              </w:rPr>
            </w:pPr>
            <w:r>
              <w:rPr>
                <w:rFonts w:hint="default" w:ascii="Times New Roman" w:hAnsi="Times New Roman" w:eastAsia="楷体" w:cs="Times New Roman"/>
                <w:color w:val="auto"/>
                <w:spacing w:val="-2"/>
                <w:highlight w:val="none"/>
                <w:lang w:val="en-US" w:eastAsia="zh-CN"/>
              </w:rPr>
              <w:t>有效保障</w:t>
            </w:r>
          </w:p>
        </w:tc>
        <w:tc>
          <w:tcPr>
            <w:tcW w:w="747" w:type="pct"/>
            <w:tcBorders>
              <w:tl2br w:val="nil"/>
              <w:tr2bl w:val="nil"/>
            </w:tcBorders>
            <w:vAlign w:val="center"/>
          </w:tcPr>
          <w:p w14:paraId="20BEA344">
            <w:pPr>
              <w:pStyle w:val="20"/>
              <w:spacing w:before="40" w:line="204" w:lineRule="auto"/>
              <w:jc w:val="center"/>
              <w:rPr>
                <w:rFonts w:hint="default" w:ascii="Times New Roman" w:hAnsi="Times New Roman" w:eastAsia="楷体" w:cs="Times New Roman"/>
                <w:color w:val="auto"/>
                <w:highlight w:val="none"/>
                <w:lang w:eastAsia="zh-CN"/>
              </w:rPr>
            </w:pPr>
            <w:r>
              <w:rPr>
                <w:rFonts w:hint="default" w:ascii="Times New Roman" w:hAnsi="Times New Roman" w:eastAsia="楷体" w:cs="Times New Roman"/>
                <w:color w:val="auto"/>
                <w:spacing w:val="-5"/>
                <w:highlight w:val="none"/>
                <w:lang w:val="en-US" w:eastAsia="zh-CN"/>
              </w:rPr>
              <w:t>全面保障</w:t>
            </w:r>
          </w:p>
        </w:tc>
        <w:tc>
          <w:tcPr>
            <w:tcW w:w="734" w:type="pct"/>
            <w:tcBorders>
              <w:tl2br w:val="nil"/>
              <w:tr2bl w:val="nil"/>
            </w:tcBorders>
            <w:vAlign w:val="center"/>
          </w:tcPr>
          <w:p w14:paraId="41726BCE">
            <w:pPr>
              <w:pStyle w:val="20"/>
              <w:spacing w:before="197" w:line="216" w:lineRule="auto"/>
              <w:jc w:val="center"/>
              <w:rPr>
                <w:rFonts w:hint="default" w:ascii="Times New Roman" w:hAnsi="Times New Roman" w:eastAsia="楷体" w:cs="Times New Roman"/>
                <w:color w:val="auto"/>
                <w:spacing w:val="-1"/>
                <w:highlight w:val="none"/>
              </w:rPr>
            </w:pPr>
            <w:r>
              <w:rPr>
                <w:rFonts w:hint="default" w:ascii="Times New Roman" w:hAnsi="Times New Roman" w:eastAsia="楷体" w:cs="Times New Roman"/>
                <w:color w:val="auto"/>
                <w:spacing w:val="-1"/>
                <w:highlight w:val="none"/>
              </w:rPr>
              <w:t>预期性</w:t>
            </w:r>
          </w:p>
        </w:tc>
      </w:tr>
      <w:tr w14:paraId="1337F5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485" w:type="pct"/>
            <w:tcBorders>
              <w:tl2br w:val="nil"/>
              <w:tr2bl w:val="nil"/>
            </w:tcBorders>
            <w:vAlign w:val="center"/>
          </w:tcPr>
          <w:p w14:paraId="553FDD9D">
            <w:pPr>
              <w:jc w:val="center"/>
              <w:rPr>
                <w:rFonts w:hint="default" w:ascii="Times New Roman" w:hAnsi="Times New Roman" w:eastAsia="楷体" w:cs="Times New Roman"/>
                <w:color w:val="auto"/>
                <w:sz w:val="21"/>
                <w:highlight w:val="none"/>
                <w:lang w:val="en-US" w:eastAsia="zh-CN"/>
              </w:rPr>
            </w:pPr>
            <w:r>
              <w:rPr>
                <w:rFonts w:hint="default" w:ascii="Times New Roman" w:hAnsi="Times New Roman" w:eastAsia="楷体" w:cs="Times New Roman"/>
                <w:color w:val="auto"/>
                <w:sz w:val="21"/>
                <w:highlight w:val="none"/>
                <w:lang w:val="en-US" w:eastAsia="zh-CN"/>
              </w:rPr>
              <w:t>16</w:t>
            </w:r>
          </w:p>
        </w:tc>
        <w:tc>
          <w:tcPr>
            <w:tcW w:w="487" w:type="pct"/>
            <w:vMerge w:val="continue"/>
            <w:tcBorders>
              <w:tl2br w:val="nil"/>
              <w:tr2bl w:val="nil"/>
            </w:tcBorders>
            <w:vAlign w:val="center"/>
          </w:tcPr>
          <w:p w14:paraId="7E93AD40">
            <w:pPr>
              <w:jc w:val="center"/>
              <w:rPr>
                <w:rFonts w:hint="default" w:ascii="Times New Roman" w:hAnsi="Times New Roman" w:eastAsia="楷体" w:cs="Times New Roman"/>
                <w:color w:val="auto"/>
                <w:sz w:val="21"/>
                <w:highlight w:val="none"/>
              </w:rPr>
            </w:pPr>
          </w:p>
        </w:tc>
        <w:tc>
          <w:tcPr>
            <w:tcW w:w="1766" w:type="pct"/>
            <w:gridSpan w:val="2"/>
            <w:tcBorders>
              <w:tl2br w:val="nil"/>
              <w:tr2bl w:val="nil"/>
            </w:tcBorders>
            <w:vAlign w:val="center"/>
          </w:tcPr>
          <w:p w14:paraId="69722400">
            <w:pPr>
              <w:pStyle w:val="20"/>
              <w:spacing w:before="41" w:line="204" w:lineRule="auto"/>
              <w:jc w:val="center"/>
              <w:rPr>
                <w:rFonts w:hint="default" w:ascii="Times New Roman" w:hAnsi="Times New Roman" w:eastAsia="楷体" w:cs="Times New Roman"/>
                <w:color w:val="auto"/>
                <w:highlight w:val="none"/>
                <w:lang w:eastAsia="zh-CN"/>
              </w:rPr>
            </w:pPr>
            <w:r>
              <w:rPr>
                <w:rFonts w:hint="default" w:ascii="Times New Roman" w:hAnsi="Times New Roman" w:eastAsia="楷体" w:cs="Times New Roman"/>
                <w:color w:val="auto"/>
                <w:spacing w:val="-4"/>
                <w:highlight w:val="none"/>
                <w:lang w:eastAsia="zh-CN"/>
              </w:rPr>
              <w:t>固体废物非法倾倒处置率*</w:t>
            </w:r>
          </w:p>
        </w:tc>
        <w:tc>
          <w:tcPr>
            <w:tcW w:w="779" w:type="pct"/>
            <w:tcBorders>
              <w:tl2br w:val="nil"/>
              <w:tr2bl w:val="nil"/>
            </w:tcBorders>
            <w:vAlign w:val="center"/>
          </w:tcPr>
          <w:p w14:paraId="5B25094B">
            <w:pPr>
              <w:pStyle w:val="20"/>
              <w:spacing w:before="40" w:line="204" w:lineRule="auto"/>
              <w:jc w:val="center"/>
              <w:rPr>
                <w:rFonts w:hint="default" w:ascii="Times New Roman" w:hAnsi="Times New Roman" w:eastAsia="楷体" w:cs="Times New Roman"/>
                <w:color w:val="auto"/>
                <w:spacing w:val="-2"/>
                <w:highlight w:val="none"/>
                <w:lang w:eastAsia="zh-CN"/>
              </w:rPr>
            </w:pPr>
            <w:r>
              <w:rPr>
                <w:rFonts w:hint="default" w:ascii="Times New Roman" w:hAnsi="Times New Roman" w:eastAsia="楷体" w:cs="Times New Roman"/>
                <w:color w:val="auto"/>
                <w:spacing w:val="-2"/>
                <w:highlight w:val="none"/>
              </w:rPr>
              <w:t>——</w:t>
            </w:r>
          </w:p>
        </w:tc>
        <w:tc>
          <w:tcPr>
            <w:tcW w:w="747" w:type="pct"/>
            <w:tcBorders>
              <w:tl2br w:val="nil"/>
              <w:tr2bl w:val="nil"/>
            </w:tcBorders>
            <w:vAlign w:val="center"/>
          </w:tcPr>
          <w:p w14:paraId="18FF5169">
            <w:pPr>
              <w:pStyle w:val="20"/>
              <w:spacing w:before="41" w:line="204" w:lineRule="auto"/>
              <w:jc w:val="center"/>
              <w:rPr>
                <w:rFonts w:hint="default" w:ascii="Times New Roman" w:hAnsi="Times New Roman" w:eastAsia="楷体" w:cs="Times New Roman"/>
                <w:color w:val="auto"/>
                <w:highlight w:val="none"/>
              </w:rPr>
            </w:pPr>
            <w:r>
              <w:rPr>
                <w:rFonts w:hint="default" w:ascii="Times New Roman" w:hAnsi="Times New Roman" w:eastAsia="楷体" w:cs="Times New Roman"/>
                <w:color w:val="auto"/>
                <w:highlight w:val="none"/>
              </w:rPr>
              <w:t>大幅降低</w:t>
            </w:r>
          </w:p>
        </w:tc>
        <w:tc>
          <w:tcPr>
            <w:tcW w:w="734" w:type="pct"/>
            <w:tcBorders>
              <w:tl2br w:val="nil"/>
              <w:tr2bl w:val="nil"/>
            </w:tcBorders>
            <w:vAlign w:val="center"/>
          </w:tcPr>
          <w:p w14:paraId="6443ADC8">
            <w:pPr>
              <w:pStyle w:val="20"/>
              <w:spacing w:before="197" w:line="216" w:lineRule="auto"/>
              <w:jc w:val="center"/>
              <w:rPr>
                <w:rFonts w:hint="default" w:ascii="Times New Roman" w:hAnsi="Times New Roman" w:eastAsia="楷体" w:cs="Times New Roman"/>
                <w:color w:val="auto"/>
                <w:spacing w:val="-1"/>
                <w:highlight w:val="none"/>
              </w:rPr>
            </w:pPr>
            <w:r>
              <w:rPr>
                <w:rFonts w:hint="default" w:ascii="Times New Roman" w:hAnsi="Times New Roman" w:eastAsia="楷体" w:cs="Times New Roman"/>
                <w:color w:val="auto"/>
                <w:spacing w:val="-1"/>
                <w:highlight w:val="none"/>
              </w:rPr>
              <w:t>预期性</w:t>
            </w:r>
          </w:p>
        </w:tc>
      </w:tr>
      <w:tr w14:paraId="3DC8C2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485" w:type="pct"/>
            <w:tcBorders>
              <w:tl2br w:val="nil"/>
              <w:tr2bl w:val="nil"/>
            </w:tcBorders>
            <w:vAlign w:val="center"/>
          </w:tcPr>
          <w:p w14:paraId="410BED98">
            <w:pPr>
              <w:jc w:val="center"/>
              <w:rPr>
                <w:rFonts w:hint="default" w:ascii="Times New Roman" w:hAnsi="Times New Roman" w:eastAsia="楷体" w:cs="Times New Roman"/>
                <w:color w:val="auto"/>
                <w:sz w:val="21"/>
                <w:highlight w:val="none"/>
                <w:lang w:val="en-US" w:eastAsia="zh-CN"/>
              </w:rPr>
            </w:pPr>
            <w:r>
              <w:rPr>
                <w:rFonts w:hint="default" w:ascii="Times New Roman" w:hAnsi="Times New Roman" w:eastAsia="楷体" w:cs="Times New Roman"/>
                <w:color w:val="auto"/>
                <w:sz w:val="21"/>
                <w:highlight w:val="none"/>
                <w:lang w:val="en-US" w:eastAsia="zh-CN"/>
              </w:rPr>
              <w:t>17</w:t>
            </w:r>
          </w:p>
        </w:tc>
        <w:tc>
          <w:tcPr>
            <w:tcW w:w="487" w:type="pct"/>
            <w:vMerge w:val="continue"/>
            <w:tcBorders>
              <w:tl2br w:val="nil"/>
              <w:tr2bl w:val="nil"/>
            </w:tcBorders>
            <w:vAlign w:val="center"/>
          </w:tcPr>
          <w:p w14:paraId="136955F8">
            <w:pPr>
              <w:jc w:val="center"/>
              <w:rPr>
                <w:rFonts w:hint="default" w:ascii="Times New Roman" w:hAnsi="Times New Roman" w:eastAsia="楷体" w:cs="Times New Roman"/>
                <w:color w:val="auto"/>
                <w:sz w:val="21"/>
                <w:highlight w:val="none"/>
              </w:rPr>
            </w:pPr>
          </w:p>
        </w:tc>
        <w:tc>
          <w:tcPr>
            <w:tcW w:w="1766" w:type="pct"/>
            <w:gridSpan w:val="2"/>
            <w:tcBorders>
              <w:tl2br w:val="nil"/>
              <w:tr2bl w:val="nil"/>
            </w:tcBorders>
            <w:vAlign w:val="center"/>
          </w:tcPr>
          <w:p w14:paraId="46A9F692">
            <w:pPr>
              <w:pStyle w:val="20"/>
              <w:spacing w:before="158" w:line="359" w:lineRule="exact"/>
              <w:jc w:val="center"/>
              <w:rPr>
                <w:rFonts w:hint="default" w:ascii="Times New Roman" w:hAnsi="Times New Roman" w:eastAsia="楷体" w:cs="Times New Roman"/>
                <w:color w:val="auto"/>
                <w:highlight w:val="none"/>
                <w:lang w:eastAsia="zh-CN"/>
              </w:rPr>
            </w:pPr>
            <w:r>
              <w:rPr>
                <w:rFonts w:hint="default" w:ascii="Times New Roman" w:hAnsi="Times New Roman" w:eastAsia="楷体" w:cs="Times New Roman"/>
                <w:color w:val="auto"/>
                <w:spacing w:val="-1"/>
                <w:position w:val="2"/>
                <w:highlight w:val="none"/>
                <w:lang w:eastAsia="zh-CN"/>
              </w:rPr>
              <w:t>辐射安全与辐射环境优良指数（%）</w:t>
            </w:r>
          </w:p>
        </w:tc>
        <w:tc>
          <w:tcPr>
            <w:tcW w:w="779" w:type="pct"/>
            <w:tcBorders>
              <w:tl2br w:val="nil"/>
              <w:tr2bl w:val="nil"/>
            </w:tcBorders>
            <w:vAlign w:val="center"/>
          </w:tcPr>
          <w:p w14:paraId="71FF2889">
            <w:pPr>
              <w:pStyle w:val="20"/>
              <w:spacing w:before="40" w:line="204" w:lineRule="auto"/>
              <w:jc w:val="center"/>
              <w:rPr>
                <w:rFonts w:hint="default" w:ascii="Times New Roman" w:hAnsi="Times New Roman" w:eastAsia="楷体" w:cs="Times New Roman"/>
                <w:color w:val="auto"/>
                <w:spacing w:val="-2"/>
                <w:highlight w:val="none"/>
              </w:rPr>
            </w:pPr>
            <w:r>
              <w:rPr>
                <w:rFonts w:hint="default" w:ascii="Times New Roman" w:hAnsi="Times New Roman" w:eastAsia="楷体" w:cs="Times New Roman"/>
                <w:color w:val="auto"/>
                <w:spacing w:val="-2"/>
                <w:highlight w:val="none"/>
              </w:rPr>
              <w:t>——</w:t>
            </w:r>
          </w:p>
        </w:tc>
        <w:tc>
          <w:tcPr>
            <w:tcW w:w="747" w:type="pct"/>
            <w:tcBorders>
              <w:tl2br w:val="nil"/>
              <w:tr2bl w:val="nil"/>
            </w:tcBorders>
            <w:vAlign w:val="center"/>
          </w:tcPr>
          <w:p w14:paraId="748BCFB5">
            <w:pPr>
              <w:pStyle w:val="20"/>
              <w:spacing w:before="40" w:line="218" w:lineRule="auto"/>
              <w:jc w:val="center"/>
              <w:rPr>
                <w:rFonts w:hint="default" w:ascii="Times New Roman" w:hAnsi="Times New Roman" w:eastAsia="楷体" w:cs="Times New Roman"/>
                <w:color w:val="auto"/>
                <w:spacing w:val="-5"/>
                <w:highlight w:val="none"/>
                <w:lang w:eastAsia="zh-CN"/>
              </w:rPr>
            </w:pPr>
            <w:r>
              <w:rPr>
                <w:rFonts w:hint="default" w:ascii="Times New Roman" w:hAnsi="Times New Roman" w:eastAsia="楷体" w:cs="Times New Roman"/>
                <w:color w:val="auto"/>
                <w:spacing w:val="-5"/>
                <w:highlight w:val="none"/>
              </w:rPr>
              <w:t>达到</w:t>
            </w:r>
            <w:r>
              <w:rPr>
                <w:rFonts w:hint="default" w:ascii="Times New Roman" w:hAnsi="Times New Roman" w:eastAsia="楷体" w:cs="Times New Roman"/>
                <w:color w:val="auto"/>
                <w:spacing w:val="-5"/>
                <w:highlight w:val="none"/>
                <w:lang w:eastAsia="zh-CN"/>
              </w:rPr>
              <w:t>省</w:t>
            </w:r>
          </w:p>
          <w:p w14:paraId="1694B3C3">
            <w:pPr>
              <w:pStyle w:val="20"/>
              <w:spacing w:before="40" w:line="218" w:lineRule="auto"/>
              <w:jc w:val="center"/>
              <w:rPr>
                <w:rFonts w:hint="default" w:ascii="Times New Roman" w:hAnsi="Times New Roman" w:eastAsia="楷体" w:cs="Times New Roman"/>
                <w:color w:val="auto"/>
                <w:highlight w:val="none"/>
              </w:rPr>
            </w:pPr>
            <w:r>
              <w:rPr>
                <w:rFonts w:hint="default" w:ascii="Times New Roman" w:hAnsi="Times New Roman" w:eastAsia="楷体" w:cs="Times New Roman"/>
                <w:color w:val="auto"/>
                <w:spacing w:val="-5"/>
                <w:highlight w:val="none"/>
              </w:rPr>
              <w:t>下达目标</w:t>
            </w:r>
          </w:p>
        </w:tc>
        <w:tc>
          <w:tcPr>
            <w:tcW w:w="734" w:type="pct"/>
            <w:tcBorders>
              <w:tl2br w:val="nil"/>
              <w:tr2bl w:val="nil"/>
            </w:tcBorders>
            <w:vAlign w:val="center"/>
          </w:tcPr>
          <w:p w14:paraId="4DE88508">
            <w:pPr>
              <w:pStyle w:val="20"/>
              <w:spacing w:before="196" w:line="216" w:lineRule="auto"/>
              <w:jc w:val="center"/>
              <w:rPr>
                <w:rFonts w:hint="default" w:ascii="Times New Roman" w:hAnsi="Times New Roman" w:eastAsia="楷体" w:cs="Times New Roman"/>
                <w:color w:val="auto"/>
                <w:highlight w:val="none"/>
              </w:rPr>
            </w:pPr>
            <w:r>
              <w:rPr>
                <w:rFonts w:hint="default" w:ascii="Times New Roman" w:hAnsi="Times New Roman" w:eastAsia="楷体" w:cs="Times New Roman"/>
                <w:color w:val="auto"/>
                <w:spacing w:val="-1"/>
                <w:highlight w:val="none"/>
              </w:rPr>
              <w:t>预期性</w:t>
            </w:r>
          </w:p>
        </w:tc>
      </w:tr>
    </w:tbl>
    <w:p w14:paraId="0776A478">
      <w:pPr>
        <w:pStyle w:val="3"/>
        <w:keepNext w:val="0"/>
        <w:keepLines w:val="0"/>
        <w:pageBreakBefore w:val="0"/>
        <w:widowControl w:val="0"/>
        <w:kinsoku/>
        <w:wordWrap/>
        <w:overflowPunct/>
        <w:topLinePunct w:val="0"/>
        <w:autoSpaceDE/>
        <w:autoSpaceDN/>
        <w:bidi w:val="0"/>
        <w:adjustRightInd/>
        <w:snapToGrid/>
        <w:spacing w:before="0" w:after="0" w:line="578" w:lineRule="exact"/>
        <w:ind w:firstLine="640" w:firstLineChars="200"/>
        <w:jc w:val="left"/>
        <w:textAlignment w:val="auto"/>
        <w:rPr>
          <w:rFonts w:ascii="方正黑体_GBK" w:hAnsi="方正黑体_GBK" w:eastAsia="方正黑体_GBK" w:cs="方正黑体_GBK"/>
          <w:bCs w:val="0"/>
          <w:color w:val="auto"/>
          <w:highlight w:val="none"/>
        </w:rPr>
      </w:pPr>
      <w:bookmarkStart w:id="5" w:name="_Toc17970"/>
      <w:bookmarkStart w:id="6" w:name="_Toc5082"/>
      <w:r>
        <w:rPr>
          <w:rFonts w:hint="eastAsia" w:ascii="方正黑体_GBK" w:hAnsi="方正黑体_GBK" w:eastAsia="方正黑体_GBK" w:cs="方正黑体_GBK"/>
          <w:bCs w:val="0"/>
          <w:color w:val="auto"/>
          <w:highlight w:val="none"/>
        </w:rPr>
        <w:t>二、</w:t>
      </w:r>
      <w:bookmarkEnd w:id="5"/>
      <w:r>
        <w:rPr>
          <w:rFonts w:hint="eastAsia" w:ascii="方正黑体_GBK" w:hAnsi="方正黑体_GBK" w:eastAsia="方正黑体_GBK" w:cs="方正黑体_GBK"/>
          <w:bCs w:val="0"/>
          <w:color w:val="auto"/>
          <w:highlight w:val="none"/>
        </w:rPr>
        <w:t>发挥新能源领跑优势，探索绿色低碳转型新路径</w:t>
      </w:r>
      <w:bookmarkEnd w:id="6"/>
    </w:p>
    <w:p w14:paraId="328B707B">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78" w:lineRule="exact"/>
        <w:ind w:firstLine="640" w:firstLineChars="200"/>
        <w:textAlignment w:val="auto"/>
        <w:rPr>
          <w:rFonts w:hint="eastAsia" w:ascii="Times New Roman" w:hAnsi="Times New Roman" w:eastAsia="方正仿宋_GBK"/>
          <w:bCs w:val="0"/>
          <w:color w:val="auto"/>
          <w:szCs w:val="32"/>
          <w:highlight w:val="none"/>
          <w:lang w:eastAsia="zh-CN"/>
        </w:rPr>
      </w:pPr>
      <w:r>
        <w:rPr>
          <w:rFonts w:ascii="方正楷体_GBK" w:hAnsi="方正楷体_GBK" w:cs="方正楷体_GBK"/>
          <w:bCs w:val="0"/>
          <w:color w:val="auto"/>
          <w:szCs w:val="32"/>
          <w:highlight w:val="none"/>
        </w:rPr>
        <w:t>（一）完善生态环境源头管控体系。</w:t>
      </w:r>
      <w:r>
        <w:rPr>
          <w:rFonts w:hint="default" w:ascii="Times New Roman" w:hAnsi="Times New Roman" w:eastAsia="方正仿宋_GBK"/>
          <w:bCs w:val="0"/>
          <w:color w:val="auto"/>
          <w:szCs w:val="32"/>
          <w:highlight w:val="none"/>
          <w:u w:val="none"/>
          <w:lang w:val="en-US" w:eastAsia="zh-CN"/>
        </w:rPr>
        <w:t>以生态环境分区管控为抓手，结合白城国土空间开发保护格局，</w:t>
      </w:r>
      <w:r>
        <w:rPr>
          <w:rFonts w:hint="eastAsia" w:ascii="Times New Roman" w:hAnsi="Times New Roman" w:eastAsia="方正仿宋_GBK"/>
          <w:bCs w:val="0"/>
          <w:color w:val="auto"/>
          <w:szCs w:val="32"/>
          <w:highlight w:val="none"/>
          <w:u w:val="none"/>
          <w:lang w:val="en-US" w:eastAsia="zh-CN"/>
        </w:rPr>
        <w:t>适时调整生态管控分区，完善生态</w:t>
      </w:r>
      <w:r>
        <w:rPr>
          <w:rFonts w:hint="default" w:ascii="Times New Roman" w:hAnsi="Times New Roman" w:eastAsia="方正仿宋_GBK"/>
          <w:bCs w:val="0"/>
          <w:color w:val="auto"/>
          <w:szCs w:val="32"/>
          <w:highlight w:val="none"/>
          <w:u w:val="none"/>
          <w:lang w:val="en-US" w:eastAsia="zh-CN"/>
        </w:rPr>
        <w:t>环境准入清单</w:t>
      </w:r>
      <w:r>
        <w:rPr>
          <w:rFonts w:hint="eastAsia" w:ascii="Times New Roman" w:hAnsi="Times New Roman" w:eastAsia="方正仿宋_GBK"/>
          <w:bCs w:val="0"/>
          <w:color w:val="auto"/>
          <w:szCs w:val="32"/>
          <w:highlight w:val="none"/>
          <w:u w:val="none"/>
          <w:lang w:val="en-US" w:eastAsia="zh-CN"/>
        </w:rPr>
        <w:t>，推动将地下水、声环境、重金属、减污降碳协同等纳入分区管控体系</w:t>
      </w:r>
      <w:r>
        <w:rPr>
          <w:rFonts w:hint="default" w:ascii="Times New Roman" w:hAnsi="Times New Roman" w:eastAsia="方正仿宋_GBK"/>
          <w:bCs w:val="0"/>
          <w:color w:val="auto"/>
          <w:szCs w:val="32"/>
          <w:highlight w:val="none"/>
          <w:u w:val="none"/>
          <w:lang w:val="en-US" w:eastAsia="zh-CN"/>
        </w:rPr>
        <w:t>。加大环评保障力度，加强环评管理与碳排放双控等制度衔接，强化重点行业建设项目温室气体排放评价。优化重点污染物排放总量控制制度，扩大重点减排工程范围，优化建设项目总量指标管理</w:t>
      </w:r>
      <w:r>
        <w:rPr>
          <w:rFonts w:hint="eastAsia" w:ascii="Times New Roman" w:hAnsi="Times New Roman" w:eastAsia="方正仿宋_GBK"/>
          <w:bCs w:val="0"/>
          <w:color w:val="auto"/>
          <w:szCs w:val="32"/>
          <w:highlight w:val="none"/>
          <w:u w:val="none"/>
          <w:lang w:val="en-US" w:eastAsia="zh-CN"/>
        </w:rPr>
        <w:t>。配合开展第三次全国污染源普查，全面摸清污染源底数。</w:t>
      </w:r>
      <w:r>
        <w:rPr>
          <w:rFonts w:hint="default" w:ascii="Times New Roman" w:hAnsi="Times New Roman" w:eastAsia="方正仿宋_GBK"/>
          <w:bCs w:val="0"/>
          <w:color w:val="auto"/>
          <w:szCs w:val="32"/>
          <w:highlight w:val="none"/>
          <w:u w:val="none"/>
          <w:lang w:val="en-US" w:eastAsia="zh-CN"/>
        </w:rPr>
        <w:t>鼓励产业园区开展减污降碳协同创新，打造一批示范标杆。</w:t>
      </w:r>
      <w:r>
        <w:rPr>
          <w:rFonts w:hint="default" w:ascii="Times New Roman" w:hAnsi="Times New Roman" w:eastAsia="方正仿宋_GBK"/>
          <w:bCs w:val="0"/>
          <w:color w:val="auto"/>
          <w:szCs w:val="32"/>
          <w:highlight w:val="none"/>
        </w:rPr>
        <w:t>（</w:t>
      </w:r>
      <w:r>
        <w:rPr>
          <w:rFonts w:hint="default" w:ascii="Times New Roman" w:hAnsi="Times New Roman" w:eastAsia="方正仿宋_GBK"/>
          <w:bCs w:val="0"/>
          <w:color w:val="auto"/>
          <w:szCs w:val="32"/>
          <w:highlight w:val="none"/>
          <w:lang w:eastAsia="zh-CN"/>
        </w:rPr>
        <w:t>市发改委、</w:t>
      </w:r>
      <w:r>
        <w:rPr>
          <w:rFonts w:hint="eastAsia" w:ascii="Times New Roman" w:hAnsi="Times New Roman" w:eastAsia="方正仿宋_GBK"/>
          <w:bCs w:val="0"/>
          <w:color w:val="auto"/>
          <w:szCs w:val="32"/>
          <w:highlight w:val="none"/>
          <w:lang w:val="en-US" w:eastAsia="zh-CN"/>
        </w:rPr>
        <w:t>市</w:t>
      </w:r>
      <w:r>
        <w:rPr>
          <w:rFonts w:hint="default" w:ascii="Times New Roman" w:hAnsi="Times New Roman" w:eastAsia="方正仿宋_GBK"/>
          <w:bCs w:val="0"/>
          <w:color w:val="auto"/>
          <w:szCs w:val="32"/>
          <w:highlight w:val="none"/>
        </w:rPr>
        <w:t>自然资源</w:t>
      </w:r>
      <w:r>
        <w:rPr>
          <w:rFonts w:hint="eastAsia" w:ascii="Times New Roman" w:hAnsi="Times New Roman" w:eastAsia="方正仿宋_GBK"/>
          <w:bCs w:val="0"/>
          <w:color w:val="auto"/>
          <w:szCs w:val="32"/>
          <w:highlight w:val="none"/>
          <w:lang w:val="en-US" w:eastAsia="zh-CN"/>
        </w:rPr>
        <w:t>局</w:t>
      </w:r>
      <w:r>
        <w:rPr>
          <w:rFonts w:hint="default" w:ascii="Times New Roman" w:hAnsi="Times New Roman" w:eastAsia="方正仿宋_GBK"/>
          <w:bCs w:val="0"/>
          <w:color w:val="auto"/>
          <w:szCs w:val="32"/>
          <w:highlight w:val="none"/>
        </w:rPr>
        <w:t>、</w:t>
      </w:r>
      <w:r>
        <w:rPr>
          <w:rFonts w:hint="eastAsia" w:ascii="Times New Roman" w:hAnsi="Times New Roman" w:eastAsia="方正仿宋_GBK"/>
          <w:bCs w:val="0"/>
          <w:color w:val="auto"/>
          <w:szCs w:val="32"/>
          <w:highlight w:val="none"/>
          <w:lang w:val="en-US" w:eastAsia="zh-CN"/>
        </w:rPr>
        <w:t>市</w:t>
      </w:r>
      <w:r>
        <w:rPr>
          <w:rFonts w:hint="default" w:ascii="Times New Roman" w:hAnsi="Times New Roman" w:eastAsia="方正仿宋_GBK"/>
          <w:bCs w:val="0"/>
          <w:color w:val="auto"/>
          <w:szCs w:val="32"/>
          <w:highlight w:val="none"/>
        </w:rPr>
        <w:t>生态环境</w:t>
      </w:r>
      <w:r>
        <w:rPr>
          <w:rFonts w:hint="eastAsia" w:ascii="Times New Roman" w:hAnsi="Times New Roman" w:eastAsia="方正仿宋_GBK"/>
          <w:bCs w:val="0"/>
          <w:color w:val="auto"/>
          <w:szCs w:val="32"/>
          <w:highlight w:val="none"/>
          <w:lang w:val="en-US" w:eastAsia="zh-CN"/>
        </w:rPr>
        <w:t>局</w:t>
      </w:r>
      <w:r>
        <w:rPr>
          <w:rFonts w:hint="default" w:ascii="Times New Roman" w:hAnsi="Times New Roman" w:eastAsia="方正仿宋_GBK"/>
          <w:bCs w:val="0"/>
          <w:color w:val="auto"/>
          <w:szCs w:val="32"/>
          <w:highlight w:val="none"/>
        </w:rPr>
        <w:t>等部门按职责分工负责；各市（</w:t>
      </w:r>
      <w:r>
        <w:rPr>
          <w:rFonts w:hint="eastAsia" w:ascii="Times New Roman" w:hAnsi="Times New Roman" w:eastAsia="方正仿宋_GBK"/>
          <w:bCs w:val="0"/>
          <w:color w:val="auto"/>
          <w:szCs w:val="32"/>
          <w:highlight w:val="none"/>
          <w:lang w:val="en-US" w:eastAsia="zh-CN"/>
        </w:rPr>
        <w:t>县</w:t>
      </w:r>
      <w:r>
        <w:rPr>
          <w:rFonts w:hint="default" w:ascii="Times New Roman" w:hAnsi="Times New Roman" w:eastAsia="方正仿宋_GBK"/>
          <w:bCs w:val="0"/>
          <w:color w:val="auto"/>
          <w:szCs w:val="32"/>
          <w:highlight w:val="none"/>
        </w:rPr>
        <w:t>）政府、按职责分工负责，下同，不再列出）</w:t>
      </w:r>
    </w:p>
    <w:p w14:paraId="122FD9A6">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78" w:lineRule="exact"/>
        <w:ind w:firstLine="640" w:firstLineChars="200"/>
        <w:textAlignment w:val="auto"/>
        <w:rPr>
          <w:rFonts w:hint="eastAsia" w:ascii="Times New Roman" w:hAnsi="Times New Roman" w:eastAsia="方正仿宋_GBK"/>
          <w:bCs w:val="0"/>
          <w:color w:val="auto"/>
          <w:szCs w:val="32"/>
          <w:highlight w:val="none"/>
          <w:lang w:eastAsia="zh-CN"/>
        </w:rPr>
      </w:pPr>
      <w:r>
        <w:rPr>
          <w:rFonts w:hint="default" w:ascii="方正楷体_GBK" w:hAnsi="方正楷体_GBK" w:cs="方正楷体_GBK"/>
          <w:bCs w:val="0"/>
          <w:color w:val="auto"/>
          <w:szCs w:val="32"/>
          <w:highlight w:val="none"/>
        </w:rPr>
        <w:t>（二）推动优势产业绿色化升级</w:t>
      </w:r>
      <w:r>
        <w:rPr>
          <w:rFonts w:ascii="方正楷体_GBK" w:hAnsi="方正楷体_GBK" w:cs="方正楷体_GBK"/>
          <w:bCs w:val="0"/>
          <w:color w:val="auto"/>
          <w:szCs w:val="32"/>
          <w:highlight w:val="none"/>
        </w:rPr>
        <w:t>。</w:t>
      </w:r>
      <w:r>
        <w:rPr>
          <w:rFonts w:ascii="Times New Roman" w:hAnsi="Times New Roman" w:eastAsia="方正仿宋_GBK"/>
          <w:bCs w:val="0"/>
          <w:color w:val="auto"/>
          <w:szCs w:val="32"/>
          <w:highlight w:val="none"/>
          <w:u w:val="none"/>
        </w:rPr>
        <w:t>立足</w:t>
      </w:r>
      <w:r>
        <w:rPr>
          <w:rFonts w:hint="default" w:ascii="Times New Roman" w:hAnsi="Times New Roman" w:eastAsia="方正仿宋_GBK"/>
          <w:bCs w:val="0"/>
          <w:color w:val="auto"/>
          <w:szCs w:val="32"/>
          <w:highlight w:val="none"/>
          <w:u w:val="none"/>
          <w:lang w:val="en-US" w:eastAsia="zh-CN"/>
        </w:rPr>
        <w:t>能源、装备制造、农产品加工、特色旅游</w:t>
      </w:r>
      <w:r>
        <w:rPr>
          <w:rFonts w:hint="eastAsia" w:ascii="Times New Roman" w:hAnsi="Times New Roman" w:eastAsia="方正仿宋_GBK"/>
          <w:bCs w:val="0"/>
          <w:color w:val="auto"/>
          <w:szCs w:val="32"/>
          <w:highlight w:val="none"/>
          <w:u w:val="none"/>
          <w:lang w:val="en-US" w:eastAsia="zh-CN"/>
        </w:rPr>
        <w:t>四大产业集群</w:t>
      </w:r>
      <w:r>
        <w:rPr>
          <w:rFonts w:ascii="Times New Roman" w:hAnsi="Times New Roman" w:eastAsia="方正仿宋_GBK"/>
          <w:bCs w:val="0"/>
          <w:color w:val="auto"/>
          <w:szCs w:val="32"/>
          <w:highlight w:val="none"/>
          <w:u w:val="none"/>
        </w:rPr>
        <w:t>，</w:t>
      </w:r>
      <w:r>
        <w:rPr>
          <w:rFonts w:ascii="Times New Roman" w:hAnsi="Times New Roman" w:eastAsia="方正仿宋_GBK"/>
          <w:bCs w:val="0"/>
          <w:color w:val="auto"/>
          <w:szCs w:val="32"/>
          <w:highlight w:val="none"/>
        </w:rPr>
        <w:t>将绿色低碳基因植入产业发展全链条。农产品加工领域，推动吉林梅花赖氨酸、吉林协联柠檬酸等行业龙头实施全流程清洁生产，创建国家级绿色工厂；玉米深加工、肉乳制品深加工两大省级先进制造业集群全面推行节能降碳改造。装备制造领域，依托东方电气、三一重工等链主企业，推动风电整机、叶片、塔筒等核心零部件本地配套率持续提升，打造从装备制造到绿电消纳的零碳产业链闭环。</w:t>
      </w:r>
      <w:bookmarkStart w:id="7" w:name="OLE_LINK16"/>
      <w:bookmarkStart w:id="8" w:name="OLE_LINK15"/>
      <w:r>
        <w:rPr>
          <w:rFonts w:hint="eastAsia" w:ascii="Times New Roman" w:hAnsi="Times New Roman" w:eastAsia="方正仿宋_GBK"/>
          <w:bCs w:val="0"/>
          <w:color w:val="auto"/>
          <w:szCs w:val="32"/>
          <w:highlight w:val="none"/>
        </w:rPr>
        <w:t>（</w:t>
      </w:r>
      <w:r>
        <w:rPr>
          <w:rFonts w:hint="eastAsia" w:ascii="Times New Roman" w:hAnsi="Times New Roman" w:eastAsia="方正仿宋_GBK"/>
          <w:bCs w:val="0"/>
          <w:color w:val="auto"/>
          <w:szCs w:val="32"/>
          <w:highlight w:val="none"/>
          <w:lang w:val="en-US" w:eastAsia="zh-CN"/>
        </w:rPr>
        <w:t>市发改委</w:t>
      </w:r>
      <w:r>
        <w:rPr>
          <w:rFonts w:hint="eastAsia" w:ascii="Times New Roman" w:hAnsi="Times New Roman" w:eastAsia="方正仿宋_GBK"/>
          <w:bCs w:val="0"/>
          <w:color w:val="auto"/>
          <w:szCs w:val="32"/>
          <w:highlight w:val="none"/>
        </w:rPr>
        <w:t>、</w:t>
      </w:r>
      <w:r>
        <w:rPr>
          <w:rFonts w:hint="eastAsia" w:ascii="Times New Roman" w:hAnsi="Times New Roman" w:eastAsia="方正仿宋_GBK"/>
          <w:bCs w:val="0"/>
          <w:color w:val="auto"/>
          <w:szCs w:val="32"/>
          <w:highlight w:val="none"/>
          <w:lang w:val="en-US" w:eastAsia="zh-CN"/>
        </w:rPr>
        <w:t>市工信局</w:t>
      </w:r>
      <w:r>
        <w:rPr>
          <w:rFonts w:hint="eastAsia" w:ascii="Times New Roman" w:hAnsi="Times New Roman" w:eastAsia="方正仿宋_GBK"/>
          <w:bCs w:val="0"/>
          <w:color w:val="auto"/>
          <w:szCs w:val="32"/>
          <w:highlight w:val="none"/>
        </w:rPr>
        <w:t>、</w:t>
      </w:r>
      <w:r>
        <w:rPr>
          <w:rFonts w:hint="eastAsia" w:ascii="Times New Roman" w:hAnsi="Times New Roman" w:eastAsia="方正仿宋_GBK"/>
          <w:bCs w:val="0"/>
          <w:color w:val="auto"/>
          <w:szCs w:val="32"/>
          <w:highlight w:val="none"/>
          <w:lang w:val="en-US" w:eastAsia="zh-CN"/>
        </w:rPr>
        <w:t>市</w:t>
      </w:r>
      <w:r>
        <w:rPr>
          <w:rFonts w:hint="eastAsia" w:ascii="Times New Roman" w:hAnsi="Times New Roman" w:eastAsia="方正仿宋_GBK"/>
          <w:bCs w:val="0"/>
          <w:color w:val="auto"/>
          <w:szCs w:val="32"/>
          <w:highlight w:val="none"/>
        </w:rPr>
        <w:t>生态环境</w:t>
      </w:r>
      <w:r>
        <w:rPr>
          <w:rFonts w:hint="eastAsia" w:ascii="Times New Roman" w:hAnsi="Times New Roman" w:eastAsia="方正仿宋_GBK"/>
          <w:bCs w:val="0"/>
          <w:color w:val="auto"/>
          <w:szCs w:val="32"/>
          <w:highlight w:val="none"/>
          <w:lang w:val="en-US" w:eastAsia="zh-CN"/>
        </w:rPr>
        <w:t>局</w:t>
      </w:r>
      <w:r>
        <w:rPr>
          <w:rFonts w:hint="eastAsia" w:ascii="Times New Roman" w:hAnsi="Times New Roman" w:eastAsia="方正仿宋_GBK"/>
          <w:bCs w:val="0"/>
          <w:color w:val="auto"/>
          <w:szCs w:val="32"/>
          <w:highlight w:val="none"/>
        </w:rPr>
        <w:t>、</w:t>
      </w:r>
      <w:r>
        <w:rPr>
          <w:rFonts w:hint="eastAsia" w:ascii="Times New Roman" w:hAnsi="Times New Roman" w:eastAsia="方正仿宋_GBK"/>
          <w:bCs w:val="0"/>
          <w:color w:val="auto"/>
          <w:szCs w:val="32"/>
          <w:highlight w:val="none"/>
          <w:lang w:val="en-US" w:eastAsia="zh-CN"/>
        </w:rPr>
        <w:t>市</w:t>
      </w:r>
      <w:r>
        <w:rPr>
          <w:rFonts w:hint="eastAsia" w:ascii="Times New Roman" w:hAnsi="Times New Roman" w:eastAsia="方正仿宋_GBK"/>
          <w:bCs w:val="0"/>
          <w:color w:val="auto"/>
          <w:szCs w:val="32"/>
          <w:highlight w:val="none"/>
        </w:rPr>
        <w:t>农业农村</w:t>
      </w:r>
      <w:r>
        <w:rPr>
          <w:rFonts w:hint="eastAsia" w:ascii="Times New Roman" w:hAnsi="Times New Roman" w:eastAsia="方正仿宋_GBK"/>
          <w:bCs w:val="0"/>
          <w:color w:val="auto"/>
          <w:szCs w:val="32"/>
          <w:highlight w:val="none"/>
          <w:lang w:val="en-US" w:eastAsia="zh-CN"/>
        </w:rPr>
        <w:t>局</w:t>
      </w:r>
      <w:r>
        <w:rPr>
          <w:rFonts w:hint="eastAsia" w:ascii="Times New Roman" w:hAnsi="Times New Roman" w:eastAsia="方正仿宋_GBK"/>
          <w:bCs w:val="0"/>
          <w:color w:val="auto"/>
          <w:szCs w:val="32"/>
          <w:highlight w:val="none"/>
        </w:rPr>
        <w:t>等部门按职责分工负责）</w:t>
      </w:r>
      <w:bookmarkEnd w:id="7"/>
      <w:bookmarkEnd w:id="8"/>
    </w:p>
    <w:p w14:paraId="07315BFA">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78" w:lineRule="exact"/>
        <w:ind w:firstLine="640" w:firstLineChars="200"/>
        <w:textAlignment w:val="auto"/>
        <w:rPr>
          <w:rFonts w:hint="eastAsia" w:ascii="Times New Roman" w:hAnsi="Times New Roman" w:eastAsia="方正仿宋_GBK"/>
          <w:bCs w:val="0"/>
          <w:color w:val="auto"/>
          <w:szCs w:val="32"/>
          <w:highlight w:val="none"/>
          <w:lang w:eastAsia="zh-CN"/>
        </w:rPr>
      </w:pPr>
      <w:r>
        <w:rPr>
          <w:rFonts w:ascii="方正楷体_GBK" w:hAnsi="方正楷体_GBK" w:cs="方正楷体_GBK"/>
          <w:bCs w:val="0"/>
          <w:color w:val="auto"/>
          <w:szCs w:val="32"/>
          <w:highlight w:val="none"/>
        </w:rPr>
        <w:t>（三）建设吉林西部清洁能源高地。</w:t>
      </w:r>
      <w:r>
        <w:rPr>
          <w:rFonts w:ascii="Times New Roman" w:hAnsi="Times New Roman" w:eastAsia="方正仿宋_GBK"/>
          <w:bCs w:val="0"/>
          <w:color w:val="auto"/>
          <w:szCs w:val="32"/>
          <w:highlight w:val="none"/>
        </w:rPr>
        <w:t>巩固白城“千万千瓦级新能源发电城市”领先优势，加快通榆吉西基地鲁固直流10万千瓦光热项目、中广核30万千瓦“塔槽耦合”光热项目等重大工程建设。依托大安、洮南两个省级化工园区，推进国电投绿氢合成氨、上海电气绿色甲醇等项目达产增效，</w:t>
      </w:r>
      <w:r>
        <w:rPr>
          <w:rFonts w:hint="eastAsia" w:ascii="Times New Roman" w:hAnsi="Times New Roman" w:eastAsia="方正仿宋_GBK"/>
          <w:bCs w:val="0"/>
          <w:color w:val="auto"/>
          <w:szCs w:val="32"/>
          <w:highlight w:val="none"/>
          <w:u w:val="none"/>
        </w:rPr>
        <w:t>用好用足“绿电+消纳”四种模式，全域开展绿电直连模式探索，加快就地消纳负荷增长</w:t>
      </w:r>
      <w:r>
        <w:rPr>
          <w:rFonts w:ascii="Times New Roman" w:hAnsi="Times New Roman" w:eastAsia="方正仿宋_GBK"/>
          <w:bCs w:val="0"/>
          <w:color w:val="auto"/>
          <w:szCs w:val="32"/>
          <w:highlight w:val="none"/>
          <w:u w:val="none"/>
        </w:rPr>
        <w:t>。</w:t>
      </w:r>
      <w:r>
        <w:rPr>
          <w:rFonts w:ascii="Times New Roman" w:hAnsi="Times New Roman" w:eastAsia="方正仿宋_GBK"/>
          <w:bCs w:val="0"/>
          <w:color w:val="auto"/>
          <w:szCs w:val="32"/>
          <w:highlight w:val="none"/>
        </w:rPr>
        <w:t>煤炭消费方面，县级及以上城市建成区不再新建35蒸吨/小时及以下燃煤锅炉。</w:t>
      </w:r>
      <w:r>
        <w:rPr>
          <w:rFonts w:hint="eastAsia" w:ascii="Times New Roman" w:hAnsi="Times New Roman" w:eastAsia="方正仿宋_GBK"/>
          <w:bCs w:val="0"/>
          <w:color w:val="auto"/>
          <w:szCs w:val="32"/>
          <w:highlight w:val="none"/>
          <w:lang w:eastAsia="zh-CN"/>
        </w:rPr>
        <w:t>加快推动新增用电量主要由新增清洁能源电量覆盖。</w:t>
      </w:r>
      <w:r>
        <w:rPr>
          <w:rFonts w:hint="default" w:ascii="Times New Roman" w:hAnsi="Times New Roman" w:eastAsia="方正仿宋_GBK"/>
          <w:bCs w:val="0"/>
          <w:color w:val="auto"/>
          <w:szCs w:val="32"/>
          <w:highlight w:val="none"/>
        </w:rPr>
        <w:t>到2030年，全市煤炭消费控制在</w:t>
      </w:r>
      <w:r>
        <w:rPr>
          <w:rFonts w:hint="default" w:ascii="Times New Roman" w:hAnsi="Times New Roman" w:eastAsia="方正仿宋_GBK"/>
          <w:bCs w:val="0"/>
          <w:color w:val="auto"/>
          <w:szCs w:val="32"/>
          <w:highlight w:val="none"/>
          <w:lang w:eastAsia="zh-CN"/>
        </w:rPr>
        <w:t>省</w:t>
      </w:r>
      <w:r>
        <w:rPr>
          <w:rFonts w:hint="default" w:ascii="Times New Roman" w:hAnsi="Times New Roman" w:eastAsia="方正仿宋_GBK"/>
          <w:bCs w:val="0"/>
          <w:color w:val="auto"/>
          <w:szCs w:val="32"/>
          <w:highlight w:val="none"/>
        </w:rPr>
        <w:t>下达目标以内，非化石能源消费比重达到</w:t>
      </w:r>
      <w:r>
        <w:rPr>
          <w:rFonts w:hint="default" w:ascii="Times New Roman" w:hAnsi="Times New Roman" w:eastAsia="方正仿宋_GBK"/>
          <w:bCs w:val="0"/>
          <w:color w:val="auto"/>
          <w:szCs w:val="32"/>
          <w:highlight w:val="none"/>
          <w:lang w:eastAsia="zh-CN"/>
        </w:rPr>
        <w:t>省</w:t>
      </w:r>
      <w:r>
        <w:rPr>
          <w:rFonts w:hint="default" w:ascii="Times New Roman" w:hAnsi="Times New Roman" w:eastAsia="方正仿宋_GBK"/>
          <w:bCs w:val="0"/>
          <w:color w:val="auto"/>
          <w:szCs w:val="32"/>
          <w:highlight w:val="none"/>
        </w:rPr>
        <w:t>下达目标以上</w:t>
      </w:r>
      <w:r>
        <w:rPr>
          <w:rFonts w:ascii="Times New Roman" w:hAnsi="Times New Roman" w:eastAsia="方正仿宋_GBK"/>
          <w:bCs w:val="0"/>
          <w:color w:val="auto"/>
          <w:szCs w:val="32"/>
          <w:highlight w:val="none"/>
        </w:rPr>
        <w:t>。</w:t>
      </w:r>
      <w:r>
        <w:rPr>
          <w:rFonts w:hint="eastAsia" w:ascii="Times New Roman" w:hAnsi="Times New Roman" w:eastAsia="方正仿宋_GBK"/>
          <w:bCs w:val="0"/>
          <w:color w:val="auto"/>
          <w:szCs w:val="32"/>
          <w:highlight w:val="none"/>
        </w:rPr>
        <w:t>（</w:t>
      </w:r>
      <w:r>
        <w:rPr>
          <w:rFonts w:hint="eastAsia" w:ascii="Times New Roman" w:hAnsi="Times New Roman" w:eastAsia="方正仿宋_GBK"/>
          <w:bCs w:val="0"/>
          <w:color w:val="auto"/>
          <w:szCs w:val="32"/>
          <w:highlight w:val="none"/>
          <w:lang w:val="en-US" w:eastAsia="zh-CN"/>
        </w:rPr>
        <w:t>市发改委</w:t>
      </w:r>
      <w:r>
        <w:rPr>
          <w:rFonts w:hint="eastAsia" w:ascii="Times New Roman" w:hAnsi="Times New Roman" w:eastAsia="方正仿宋_GBK"/>
          <w:bCs w:val="0"/>
          <w:color w:val="auto"/>
          <w:szCs w:val="32"/>
          <w:highlight w:val="none"/>
        </w:rPr>
        <w:t>、</w:t>
      </w:r>
      <w:r>
        <w:rPr>
          <w:rFonts w:hint="eastAsia" w:ascii="Times New Roman" w:hAnsi="Times New Roman" w:eastAsia="方正仿宋_GBK"/>
          <w:bCs w:val="0"/>
          <w:color w:val="auto"/>
          <w:szCs w:val="32"/>
          <w:highlight w:val="none"/>
          <w:lang w:val="en-US" w:eastAsia="zh-CN"/>
        </w:rPr>
        <w:t>市工信局</w:t>
      </w:r>
      <w:r>
        <w:rPr>
          <w:rFonts w:hint="eastAsia" w:ascii="Times New Roman" w:hAnsi="Times New Roman" w:eastAsia="方正仿宋_GBK"/>
          <w:bCs w:val="0"/>
          <w:color w:val="auto"/>
          <w:szCs w:val="32"/>
          <w:highlight w:val="none"/>
        </w:rPr>
        <w:t>、</w:t>
      </w:r>
      <w:r>
        <w:rPr>
          <w:rFonts w:hint="eastAsia" w:ascii="Times New Roman" w:hAnsi="Times New Roman" w:eastAsia="方正仿宋_GBK"/>
          <w:bCs w:val="0"/>
          <w:color w:val="auto"/>
          <w:szCs w:val="32"/>
          <w:highlight w:val="none"/>
          <w:lang w:val="en-US" w:eastAsia="zh-CN"/>
        </w:rPr>
        <w:t>市财政局、市</w:t>
      </w:r>
      <w:r>
        <w:rPr>
          <w:rFonts w:hint="default" w:ascii="Times New Roman" w:hAnsi="Times New Roman" w:eastAsia="方正仿宋_GBK"/>
          <w:bCs w:val="0"/>
          <w:color w:val="auto"/>
          <w:szCs w:val="32"/>
          <w:highlight w:val="none"/>
        </w:rPr>
        <w:t>自然资源</w:t>
      </w:r>
      <w:r>
        <w:rPr>
          <w:rFonts w:hint="eastAsia" w:ascii="Times New Roman" w:hAnsi="Times New Roman" w:eastAsia="方正仿宋_GBK"/>
          <w:bCs w:val="0"/>
          <w:color w:val="auto"/>
          <w:szCs w:val="32"/>
          <w:highlight w:val="none"/>
          <w:lang w:val="en-US" w:eastAsia="zh-CN"/>
        </w:rPr>
        <w:t>局</w:t>
      </w:r>
      <w:r>
        <w:rPr>
          <w:rFonts w:hint="default" w:ascii="Times New Roman" w:hAnsi="Times New Roman" w:eastAsia="方正仿宋_GBK"/>
          <w:bCs w:val="0"/>
          <w:color w:val="auto"/>
          <w:szCs w:val="32"/>
          <w:highlight w:val="none"/>
        </w:rPr>
        <w:t>、</w:t>
      </w:r>
      <w:r>
        <w:rPr>
          <w:rFonts w:hint="eastAsia" w:ascii="Times New Roman" w:hAnsi="Times New Roman" w:eastAsia="方正仿宋_GBK"/>
          <w:bCs w:val="0"/>
          <w:color w:val="auto"/>
          <w:szCs w:val="32"/>
          <w:highlight w:val="none"/>
          <w:lang w:val="en-US" w:eastAsia="zh-CN"/>
        </w:rPr>
        <w:t>市</w:t>
      </w:r>
      <w:r>
        <w:rPr>
          <w:rFonts w:hint="eastAsia" w:ascii="Times New Roman" w:hAnsi="Times New Roman" w:eastAsia="方正仿宋_GBK"/>
          <w:bCs w:val="0"/>
          <w:color w:val="auto"/>
          <w:szCs w:val="32"/>
          <w:highlight w:val="none"/>
        </w:rPr>
        <w:t>生态环境</w:t>
      </w:r>
      <w:r>
        <w:rPr>
          <w:rFonts w:hint="eastAsia" w:ascii="Times New Roman" w:hAnsi="Times New Roman" w:eastAsia="方正仿宋_GBK"/>
          <w:bCs w:val="0"/>
          <w:color w:val="auto"/>
          <w:szCs w:val="32"/>
          <w:highlight w:val="none"/>
          <w:lang w:val="en-US" w:eastAsia="zh-CN"/>
        </w:rPr>
        <w:t>局</w:t>
      </w:r>
      <w:r>
        <w:rPr>
          <w:rFonts w:hint="eastAsia" w:ascii="Times New Roman" w:hAnsi="Times New Roman" w:eastAsia="方正仿宋_GBK"/>
          <w:bCs w:val="0"/>
          <w:color w:val="auto"/>
          <w:szCs w:val="32"/>
          <w:highlight w:val="none"/>
        </w:rPr>
        <w:t>、</w:t>
      </w:r>
      <w:r>
        <w:rPr>
          <w:rFonts w:hint="eastAsia" w:ascii="Times New Roman" w:hAnsi="Times New Roman" w:eastAsia="方正仿宋_GBK"/>
          <w:bCs w:val="0"/>
          <w:color w:val="auto"/>
          <w:szCs w:val="32"/>
          <w:highlight w:val="none"/>
          <w:lang w:val="en-US" w:eastAsia="zh-CN"/>
        </w:rPr>
        <w:t>市住建局</w:t>
      </w:r>
      <w:r>
        <w:rPr>
          <w:rFonts w:hint="eastAsia" w:ascii="Times New Roman" w:hAnsi="Times New Roman" w:eastAsia="方正仿宋_GBK"/>
          <w:bCs w:val="0"/>
          <w:color w:val="auto"/>
          <w:szCs w:val="32"/>
          <w:highlight w:val="none"/>
        </w:rPr>
        <w:t>等部门按职责分工负责）</w:t>
      </w:r>
    </w:p>
    <w:p w14:paraId="4D829585">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78" w:lineRule="exact"/>
        <w:ind w:firstLine="640" w:firstLineChars="200"/>
        <w:textAlignment w:val="auto"/>
        <w:rPr>
          <w:rFonts w:hint="eastAsia" w:ascii="Times New Roman" w:hAnsi="Times New Roman" w:eastAsia="方正仿宋_GBK"/>
          <w:bCs w:val="0"/>
          <w:color w:val="auto"/>
          <w:szCs w:val="32"/>
          <w:highlight w:val="none"/>
          <w:lang w:eastAsia="zh-CN"/>
        </w:rPr>
      </w:pPr>
      <w:r>
        <w:rPr>
          <w:rFonts w:ascii="方正楷体_GBK" w:hAnsi="方正楷体_GBK" w:cs="方正楷体_GBK"/>
          <w:bCs w:val="0"/>
          <w:color w:val="auto"/>
          <w:szCs w:val="32"/>
          <w:highlight w:val="none"/>
        </w:rPr>
        <w:t>（四）构建绿色交通与循环农业体系。</w:t>
      </w:r>
      <w:r>
        <w:rPr>
          <w:rFonts w:ascii="Times New Roman" w:hAnsi="Times New Roman" w:eastAsia="方正仿宋_GBK"/>
          <w:bCs w:val="0"/>
          <w:color w:val="auto"/>
          <w:szCs w:val="32"/>
          <w:highlight w:val="none"/>
        </w:rPr>
        <w:t>依托长白铁路提速和铁海联运专列开通优势，推动吉林梅花、吉林协联等大宗物资运输企业“公转铁”比例提升。</w:t>
      </w:r>
      <w:r>
        <w:rPr>
          <w:rFonts w:hint="default" w:ascii="Times New Roman" w:hAnsi="Times New Roman" w:eastAsia="方正仿宋_GBK"/>
          <w:bCs w:val="0"/>
          <w:color w:val="auto"/>
          <w:szCs w:val="32"/>
          <w:highlight w:val="none"/>
        </w:rPr>
        <w:t>加快城市老旧营运货车淘汰更新。强化建筑节能降碳，加强既有建筑节能降碳改造，推动超低能耗建筑和装配式建筑发展。深化公共机构节能降碳，加强公共机构能耗定额管理。发展循环高效农业模式，推动“猪养田、田养猪”种养循环模式，</w:t>
      </w:r>
      <w:r>
        <w:rPr>
          <w:rFonts w:hint="eastAsia" w:ascii="Times New Roman" w:hAnsi="Times New Roman" w:eastAsia="方正仿宋_GBK"/>
          <w:bCs w:val="0"/>
          <w:color w:val="auto"/>
          <w:szCs w:val="32"/>
          <w:highlight w:val="none"/>
          <w:u w:val="none"/>
          <w:lang w:val="en-US" w:eastAsia="zh-CN"/>
        </w:rPr>
        <w:t>探索</w:t>
      </w:r>
      <w:r>
        <w:rPr>
          <w:rFonts w:hint="default" w:ascii="Times New Roman" w:hAnsi="Times New Roman" w:eastAsia="方正仿宋_GBK"/>
          <w:bCs w:val="0"/>
          <w:color w:val="auto"/>
          <w:szCs w:val="32"/>
          <w:highlight w:val="none"/>
          <w:u w:val="none"/>
        </w:rPr>
        <w:t>适配东北</w:t>
      </w:r>
      <w:r>
        <w:rPr>
          <w:rFonts w:hint="eastAsia" w:ascii="Times New Roman" w:hAnsi="Times New Roman" w:eastAsia="方正仿宋_GBK"/>
          <w:bCs w:val="0"/>
          <w:color w:val="auto"/>
          <w:szCs w:val="32"/>
          <w:highlight w:val="none"/>
          <w:u w:val="none"/>
          <w:lang w:val="en-US" w:eastAsia="zh-CN"/>
        </w:rPr>
        <w:t>苏打</w:t>
      </w:r>
      <w:r>
        <w:rPr>
          <w:rFonts w:hint="default" w:ascii="Times New Roman" w:hAnsi="Times New Roman" w:eastAsia="方正仿宋_GBK"/>
          <w:bCs w:val="0"/>
          <w:color w:val="auto"/>
          <w:szCs w:val="32"/>
          <w:highlight w:val="none"/>
          <w:u w:val="none"/>
        </w:rPr>
        <w:t>盐碱土地</w:t>
      </w:r>
      <w:r>
        <w:rPr>
          <w:rFonts w:hint="default" w:ascii="Times New Roman" w:hAnsi="Times New Roman" w:eastAsia="方正仿宋_GBK"/>
          <w:bCs w:val="0"/>
          <w:color w:val="auto"/>
          <w:szCs w:val="32"/>
          <w:highlight w:val="none"/>
        </w:rPr>
        <w:t>、可复制、可推广的绿色治理新路径。推进畜禽粪污资源化利用和秸秆综合利用，提升农膜回收水平。到2030年，新增或更新的重型货车中新能源占比超过</w:t>
      </w:r>
      <w:r>
        <w:rPr>
          <w:rFonts w:hint="default" w:ascii="Times New Roman" w:hAnsi="Times New Roman" w:eastAsia="方正仿宋_GBK"/>
          <w:bCs w:val="0"/>
          <w:color w:val="auto"/>
          <w:szCs w:val="32"/>
          <w:highlight w:val="none"/>
          <w:lang w:eastAsia="zh-CN"/>
        </w:rPr>
        <w:t>省</w:t>
      </w:r>
      <w:r>
        <w:rPr>
          <w:rFonts w:hint="default" w:ascii="Times New Roman" w:hAnsi="Times New Roman" w:eastAsia="方正仿宋_GBK"/>
          <w:bCs w:val="0"/>
          <w:color w:val="auto"/>
          <w:szCs w:val="32"/>
          <w:highlight w:val="none"/>
        </w:rPr>
        <w:t>下达目标，畜禽粪污综合利用率达到</w:t>
      </w:r>
      <w:r>
        <w:rPr>
          <w:rFonts w:hint="eastAsia" w:ascii="Times New Roman" w:hAnsi="Times New Roman" w:eastAsia="方正仿宋_GBK"/>
          <w:bCs w:val="0"/>
          <w:color w:val="auto"/>
          <w:szCs w:val="32"/>
          <w:highlight w:val="none"/>
          <w:lang w:val="en-US" w:eastAsia="zh-CN"/>
        </w:rPr>
        <w:t>85</w:t>
      </w:r>
      <w:r>
        <w:rPr>
          <w:rFonts w:hint="default" w:ascii="Times New Roman" w:hAnsi="Times New Roman" w:eastAsia="方正仿宋_GBK"/>
          <w:bCs w:val="0"/>
          <w:color w:val="auto"/>
          <w:szCs w:val="32"/>
          <w:highlight w:val="none"/>
        </w:rPr>
        <w:t>%以上。</w:t>
      </w:r>
      <w:r>
        <w:rPr>
          <w:rFonts w:hint="eastAsia" w:ascii="Times New Roman" w:hAnsi="Times New Roman" w:eastAsia="方正仿宋_GBK"/>
          <w:bCs w:val="0"/>
          <w:color w:val="auto"/>
          <w:szCs w:val="32"/>
          <w:highlight w:val="none"/>
        </w:rPr>
        <w:t>（</w:t>
      </w:r>
      <w:r>
        <w:rPr>
          <w:rFonts w:hint="eastAsia" w:ascii="Times New Roman" w:hAnsi="Times New Roman" w:eastAsia="方正仿宋_GBK"/>
          <w:bCs w:val="0"/>
          <w:color w:val="auto"/>
          <w:szCs w:val="32"/>
          <w:highlight w:val="none"/>
          <w:lang w:val="en-US" w:eastAsia="zh-CN"/>
        </w:rPr>
        <w:t>市工信局</w:t>
      </w:r>
      <w:r>
        <w:rPr>
          <w:rFonts w:hint="eastAsia" w:ascii="Times New Roman" w:hAnsi="Times New Roman" w:eastAsia="方正仿宋_GBK"/>
          <w:bCs w:val="0"/>
          <w:color w:val="auto"/>
          <w:szCs w:val="32"/>
          <w:highlight w:val="none"/>
        </w:rPr>
        <w:t>、</w:t>
      </w:r>
      <w:r>
        <w:rPr>
          <w:rFonts w:hint="eastAsia" w:ascii="Times New Roman" w:hAnsi="Times New Roman" w:eastAsia="方正仿宋_GBK"/>
          <w:bCs w:val="0"/>
          <w:color w:val="auto"/>
          <w:szCs w:val="32"/>
          <w:highlight w:val="none"/>
          <w:lang w:val="en-US" w:eastAsia="zh-CN"/>
        </w:rPr>
        <w:t>市</w:t>
      </w:r>
      <w:r>
        <w:rPr>
          <w:rFonts w:hint="default" w:ascii="Times New Roman" w:hAnsi="Times New Roman" w:eastAsia="方正仿宋_GBK"/>
          <w:bCs w:val="0"/>
          <w:color w:val="auto"/>
          <w:szCs w:val="32"/>
          <w:highlight w:val="none"/>
        </w:rPr>
        <w:t>自然资源</w:t>
      </w:r>
      <w:r>
        <w:rPr>
          <w:rFonts w:hint="eastAsia" w:ascii="Times New Roman" w:hAnsi="Times New Roman" w:eastAsia="方正仿宋_GBK"/>
          <w:bCs w:val="0"/>
          <w:color w:val="auto"/>
          <w:szCs w:val="32"/>
          <w:highlight w:val="none"/>
          <w:lang w:val="en-US" w:eastAsia="zh-CN"/>
        </w:rPr>
        <w:t>局</w:t>
      </w:r>
      <w:r>
        <w:rPr>
          <w:rFonts w:hint="default" w:ascii="Times New Roman" w:hAnsi="Times New Roman" w:eastAsia="方正仿宋_GBK"/>
          <w:bCs w:val="0"/>
          <w:color w:val="auto"/>
          <w:szCs w:val="32"/>
          <w:highlight w:val="none"/>
        </w:rPr>
        <w:t>、</w:t>
      </w:r>
      <w:r>
        <w:rPr>
          <w:rFonts w:hint="eastAsia" w:ascii="Times New Roman" w:hAnsi="Times New Roman" w:eastAsia="方正仿宋_GBK"/>
          <w:bCs w:val="0"/>
          <w:color w:val="auto"/>
          <w:szCs w:val="32"/>
          <w:highlight w:val="none"/>
          <w:lang w:val="en-US" w:eastAsia="zh-CN"/>
        </w:rPr>
        <w:t>市</w:t>
      </w:r>
      <w:r>
        <w:rPr>
          <w:rFonts w:hint="eastAsia" w:ascii="Times New Roman" w:hAnsi="Times New Roman" w:eastAsia="方正仿宋_GBK"/>
          <w:bCs w:val="0"/>
          <w:color w:val="auto"/>
          <w:szCs w:val="32"/>
          <w:highlight w:val="none"/>
        </w:rPr>
        <w:t>生态环境</w:t>
      </w:r>
      <w:r>
        <w:rPr>
          <w:rFonts w:hint="eastAsia" w:ascii="Times New Roman" w:hAnsi="Times New Roman" w:eastAsia="方正仿宋_GBK"/>
          <w:bCs w:val="0"/>
          <w:color w:val="auto"/>
          <w:szCs w:val="32"/>
          <w:highlight w:val="none"/>
          <w:lang w:val="en-US" w:eastAsia="zh-CN"/>
        </w:rPr>
        <w:t>局</w:t>
      </w:r>
      <w:r>
        <w:rPr>
          <w:rFonts w:hint="eastAsia" w:ascii="Times New Roman" w:hAnsi="Times New Roman" w:eastAsia="方正仿宋_GBK"/>
          <w:bCs w:val="0"/>
          <w:color w:val="auto"/>
          <w:szCs w:val="32"/>
          <w:highlight w:val="none"/>
        </w:rPr>
        <w:t>、</w:t>
      </w:r>
      <w:r>
        <w:rPr>
          <w:rFonts w:hint="eastAsia" w:ascii="Times New Roman" w:hAnsi="Times New Roman" w:eastAsia="方正仿宋_GBK"/>
          <w:bCs w:val="0"/>
          <w:color w:val="auto"/>
          <w:szCs w:val="32"/>
          <w:highlight w:val="none"/>
          <w:lang w:val="en-US" w:eastAsia="zh-CN"/>
        </w:rPr>
        <w:t>市住建局、市交通局、市能源局、市农业农村局</w:t>
      </w:r>
      <w:r>
        <w:rPr>
          <w:rFonts w:hint="eastAsia" w:ascii="Times New Roman" w:hAnsi="Times New Roman" w:eastAsia="方正仿宋_GBK"/>
          <w:bCs w:val="0"/>
          <w:color w:val="auto"/>
          <w:szCs w:val="32"/>
          <w:highlight w:val="none"/>
        </w:rPr>
        <w:t>等部门按职责分工负责）</w:t>
      </w:r>
    </w:p>
    <w:p w14:paraId="7232027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78" w:lineRule="exact"/>
        <w:ind w:firstLine="640" w:firstLineChars="200"/>
        <w:textAlignment w:val="auto"/>
        <w:rPr>
          <w:rFonts w:hint="eastAsia" w:ascii="Times New Roman" w:hAnsi="Times New Roman" w:eastAsia="方正仿宋_GBK"/>
          <w:bCs w:val="0"/>
          <w:color w:val="auto"/>
          <w:szCs w:val="32"/>
          <w:highlight w:val="none"/>
          <w:lang w:eastAsia="zh-CN"/>
        </w:rPr>
      </w:pPr>
      <w:bookmarkStart w:id="9" w:name="_Toc4186"/>
      <w:r>
        <w:rPr>
          <w:rFonts w:ascii="方正楷体_GBK" w:hAnsi="方正楷体_GBK" w:cs="方正楷体_GBK"/>
          <w:bCs w:val="0"/>
          <w:color w:val="auto"/>
          <w:szCs w:val="32"/>
          <w:highlight w:val="none"/>
        </w:rPr>
        <w:t>（五）稳妥有序推进碳达峰碳中和实践。</w:t>
      </w:r>
      <w:r>
        <w:rPr>
          <w:rFonts w:ascii="Times New Roman" w:hAnsi="Times New Roman" w:eastAsia="方正仿宋_GBK"/>
          <w:bCs w:val="0"/>
          <w:color w:val="auto"/>
          <w:szCs w:val="32"/>
          <w:highlight w:val="none"/>
        </w:rPr>
        <w:t>充分利用白城“千万千瓦级新能源发电城市”的绿电优势，</w:t>
      </w:r>
      <w:r>
        <w:rPr>
          <w:rFonts w:hint="default" w:ascii="Times New Roman" w:hAnsi="Times New Roman" w:eastAsia="方正仿宋_GBK"/>
          <w:bCs w:val="0"/>
          <w:color w:val="auto"/>
          <w:szCs w:val="32"/>
          <w:highlight w:val="none"/>
        </w:rPr>
        <w:t>科学稳妥实施碳排放总量和强度双控制度。建立行业碳排放管控机制，健全重点用能单位和碳排放管理单位制度。实施固定资产投资项目节能审查和碳排放评价，对“两高”项目实施碳排放等量或减量置换。有效控制非二氧化碳温室气体排放，强化油气领域甲烷控排监管，推动农业和废弃物处理领域减排。充分挖掘草原、湿地、农田碳汇潜能，推动开展向海、莫莫格湿地碳汇计量监测。依托吉林油田CO</w:t>
      </w:r>
      <w:r>
        <w:rPr>
          <w:rFonts w:hint="default" w:ascii="Times New Roman" w:hAnsi="Times New Roman" w:eastAsia="方正仿宋_GBK"/>
          <w:bCs w:val="0"/>
          <w:color w:val="auto"/>
          <w:szCs w:val="32"/>
          <w:highlight w:val="none"/>
          <w:vertAlign w:val="subscript"/>
        </w:rPr>
        <w:t>2</w:t>
      </w:r>
      <w:r>
        <w:rPr>
          <w:rFonts w:hint="default" w:ascii="Times New Roman" w:hAnsi="Times New Roman" w:eastAsia="方正仿宋_GBK"/>
          <w:bCs w:val="0"/>
          <w:color w:val="auto"/>
          <w:szCs w:val="32"/>
          <w:highlight w:val="none"/>
        </w:rPr>
        <w:t>驱油项目白城片区，推动碳捕集利用与封存（CCUS）技术示范。</w:t>
      </w:r>
      <w:r>
        <w:rPr>
          <w:rFonts w:hint="eastAsia" w:ascii="Times New Roman" w:hAnsi="Times New Roman" w:eastAsia="方正仿宋_GBK"/>
          <w:bCs w:val="0"/>
          <w:color w:val="auto"/>
          <w:szCs w:val="32"/>
          <w:highlight w:val="none"/>
          <w:lang w:eastAsia="zh-CN"/>
        </w:rPr>
        <w:t>（</w:t>
      </w:r>
      <w:r>
        <w:rPr>
          <w:rFonts w:hint="eastAsia" w:ascii="Times New Roman" w:hAnsi="Times New Roman" w:eastAsia="方正仿宋_GBK"/>
          <w:bCs w:val="0"/>
          <w:color w:val="auto"/>
          <w:szCs w:val="32"/>
          <w:highlight w:val="none"/>
          <w:lang w:val="en-US" w:eastAsia="zh-CN"/>
        </w:rPr>
        <w:t>市发改</w:t>
      </w:r>
      <w:r>
        <w:rPr>
          <w:rFonts w:hint="default" w:ascii="Times New Roman" w:hAnsi="Times New Roman" w:eastAsia="方正仿宋_GBK"/>
          <w:bCs w:val="0"/>
          <w:color w:val="auto"/>
          <w:szCs w:val="32"/>
          <w:highlight w:val="none"/>
        </w:rPr>
        <w:t>委、</w:t>
      </w:r>
      <w:r>
        <w:rPr>
          <w:rFonts w:hint="eastAsia" w:ascii="Times New Roman" w:hAnsi="Times New Roman" w:eastAsia="方正仿宋_GBK"/>
          <w:bCs w:val="0"/>
          <w:color w:val="auto"/>
          <w:szCs w:val="32"/>
          <w:highlight w:val="none"/>
          <w:lang w:val="en-US" w:eastAsia="zh-CN"/>
        </w:rPr>
        <w:t>市</w:t>
      </w:r>
      <w:r>
        <w:rPr>
          <w:rFonts w:hint="default" w:ascii="Times New Roman" w:hAnsi="Times New Roman" w:eastAsia="方正仿宋_GBK"/>
          <w:bCs w:val="0"/>
          <w:color w:val="auto"/>
          <w:szCs w:val="32"/>
          <w:highlight w:val="none"/>
        </w:rPr>
        <w:t>科技</w:t>
      </w:r>
      <w:r>
        <w:rPr>
          <w:rFonts w:hint="eastAsia" w:ascii="Times New Roman" w:hAnsi="Times New Roman" w:eastAsia="方正仿宋_GBK"/>
          <w:bCs w:val="0"/>
          <w:color w:val="auto"/>
          <w:szCs w:val="32"/>
          <w:highlight w:val="none"/>
          <w:lang w:val="en-US" w:eastAsia="zh-CN"/>
        </w:rPr>
        <w:t>局</w:t>
      </w:r>
      <w:r>
        <w:rPr>
          <w:rFonts w:hint="default" w:ascii="Times New Roman" w:hAnsi="Times New Roman" w:eastAsia="方正仿宋_GBK"/>
          <w:bCs w:val="0"/>
          <w:color w:val="auto"/>
          <w:szCs w:val="32"/>
          <w:highlight w:val="none"/>
        </w:rPr>
        <w:t>、</w:t>
      </w:r>
      <w:r>
        <w:rPr>
          <w:rFonts w:hint="eastAsia" w:ascii="Times New Roman" w:hAnsi="Times New Roman" w:eastAsia="方正仿宋_GBK"/>
          <w:bCs w:val="0"/>
          <w:color w:val="auto"/>
          <w:szCs w:val="32"/>
          <w:highlight w:val="none"/>
          <w:lang w:val="en-US" w:eastAsia="zh-CN"/>
        </w:rPr>
        <w:t>市工信局</w:t>
      </w:r>
      <w:r>
        <w:rPr>
          <w:rFonts w:hint="default" w:ascii="Times New Roman" w:hAnsi="Times New Roman" w:eastAsia="方正仿宋_GBK"/>
          <w:bCs w:val="0"/>
          <w:color w:val="auto"/>
          <w:szCs w:val="32"/>
          <w:highlight w:val="none"/>
        </w:rPr>
        <w:t>、</w:t>
      </w:r>
      <w:r>
        <w:rPr>
          <w:rFonts w:hint="eastAsia" w:ascii="Times New Roman" w:hAnsi="Times New Roman" w:eastAsia="方正仿宋_GBK"/>
          <w:bCs w:val="0"/>
          <w:color w:val="auto"/>
          <w:szCs w:val="32"/>
          <w:highlight w:val="none"/>
          <w:lang w:val="en-US" w:eastAsia="zh-CN"/>
        </w:rPr>
        <w:t>市自然资源局</w:t>
      </w:r>
      <w:r>
        <w:rPr>
          <w:rFonts w:hint="default" w:ascii="Times New Roman" w:hAnsi="Times New Roman" w:eastAsia="方正仿宋_GBK"/>
          <w:bCs w:val="0"/>
          <w:color w:val="auto"/>
          <w:szCs w:val="32"/>
          <w:highlight w:val="none"/>
        </w:rPr>
        <w:t>、</w:t>
      </w:r>
      <w:r>
        <w:rPr>
          <w:rFonts w:hint="eastAsia" w:ascii="Times New Roman" w:hAnsi="Times New Roman" w:eastAsia="方正仿宋_GBK"/>
          <w:bCs w:val="0"/>
          <w:color w:val="auto"/>
          <w:szCs w:val="32"/>
          <w:highlight w:val="none"/>
          <w:lang w:val="en-US" w:eastAsia="zh-CN"/>
        </w:rPr>
        <w:t>市生态环境局、市交通局、市</w:t>
      </w:r>
      <w:r>
        <w:rPr>
          <w:rFonts w:hint="default" w:ascii="Times New Roman" w:hAnsi="Times New Roman" w:eastAsia="方正仿宋_GBK"/>
          <w:bCs w:val="0"/>
          <w:color w:val="auto"/>
          <w:szCs w:val="32"/>
          <w:highlight w:val="none"/>
        </w:rPr>
        <w:t>能源局等部门按职责分工负责</w:t>
      </w:r>
      <w:r>
        <w:rPr>
          <w:rFonts w:hint="eastAsia" w:ascii="Times New Roman" w:hAnsi="Times New Roman" w:eastAsia="方正仿宋_GBK"/>
          <w:bCs w:val="0"/>
          <w:color w:val="auto"/>
          <w:szCs w:val="32"/>
          <w:highlight w:val="none"/>
          <w:lang w:eastAsia="zh-CN"/>
        </w:rPr>
        <w:t>）</w:t>
      </w:r>
    </w:p>
    <w:p w14:paraId="56A7C7A0">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78" w:lineRule="exact"/>
        <w:ind w:firstLine="640" w:firstLineChars="200"/>
        <w:textAlignment w:val="auto"/>
        <w:rPr>
          <w:rFonts w:hint="default" w:ascii="Times New Roman" w:hAnsi="Times New Roman" w:eastAsia="方正仿宋_GBK"/>
          <w:bCs w:val="0"/>
          <w:color w:val="auto"/>
          <w:szCs w:val="32"/>
          <w:highlight w:val="none"/>
        </w:rPr>
      </w:pPr>
      <w:r>
        <w:rPr>
          <w:rFonts w:hint="default" w:ascii="方正楷体_GBK" w:hAnsi="方正楷体_GBK" w:cs="方正楷体_GBK"/>
          <w:bCs w:val="0"/>
          <w:color w:val="auto"/>
          <w:szCs w:val="32"/>
          <w:highlight w:val="none"/>
        </w:rPr>
        <w:t>（六）系统提升气候变化适应能力</w:t>
      </w:r>
      <w:r>
        <w:rPr>
          <w:rFonts w:ascii="方正楷体_GBK" w:hAnsi="方正楷体_GBK" w:cs="方正楷体_GBK"/>
          <w:bCs w:val="0"/>
          <w:color w:val="auto"/>
          <w:szCs w:val="32"/>
          <w:highlight w:val="none"/>
        </w:rPr>
        <w:t>。</w:t>
      </w:r>
      <w:r>
        <w:rPr>
          <w:rFonts w:hint="default" w:ascii="Times New Roman" w:hAnsi="Times New Roman" w:eastAsia="方正仿宋_GBK"/>
          <w:bCs w:val="0"/>
          <w:color w:val="auto"/>
          <w:szCs w:val="32"/>
          <w:highlight w:val="none"/>
        </w:rPr>
        <w:t>完善适应气候变化工作体系，建立多部门联动的气候观测、风险评估、适应行动工作机制。提升气候变化监测预警评估能力，强化自然生态系统、农业、水资源等气候敏感领域适应能力。提升重大基础设施气候韧性，提升城乡生活环境适应能力。</w:t>
      </w:r>
      <w:r>
        <w:rPr>
          <w:rFonts w:hint="eastAsia" w:ascii="Times New Roman" w:hAnsi="Times New Roman" w:eastAsia="方正仿宋_GBK"/>
          <w:bCs w:val="0"/>
          <w:color w:val="auto"/>
          <w:szCs w:val="32"/>
          <w:highlight w:val="none"/>
          <w:lang w:eastAsia="zh-CN"/>
        </w:rPr>
        <w:t>（</w:t>
      </w:r>
      <w:r>
        <w:rPr>
          <w:rFonts w:hint="eastAsia" w:ascii="Times New Roman" w:hAnsi="Times New Roman" w:eastAsia="方正仿宋_GBK"/>
          <w:bCs w:val="0"/>
          <w:color w:val="auto"/>
          <w:szCs w:val="32"/>
          <w:highlight w:val="none"/>
          <w:lang w:val="en-US" w:eastAsia="zh-CN"/>
        </w:rPr>
        <w:t>市生态环境局、市住建局、市交通局、市水利局、市农业农村局、市卫生健康委、市林草局、市</w:t>
      </w:r>
      <w:r>
        <w:rPr>
          <w:rFonts w:hint="default" w:ascii="Times New Roman" w:hAnsi="Times New Roman" w:eastAsia="方正仿宋_GBK"/>
          <w:bCs w:val="0"/>
          <w:color w:val="auto"/>
          <w:szCs w:val="32"/>
          <w:highlight w:val="none"/>
        </w:rPr>
        <w:t>能源局</w:t>
      </w:r>
      <w:r>
        <w:rPr>
          <w:rFonts w:hint="eastAsia" w:ascii="Times New Roman" w:hAnsi="Times New Roman" w:eastAsia="方正仿宋_GBK"/>
          <w:bCs w:val="0"/>
          <w:color w:val="auto"/>
          <w:szCs w:val="32"/>
          <w:highlight w:val="none"/>
          <w:lang w:eastAsia="zh-CN"/>
        </w:rPr>
        <w:t>、</w:t>
      </w:r>
      <w:r>
        <w:rPr>
          <w:rFonts w:hint="eastAsia" w:ascii="Times New Roman" w:hAnsi="Times New Roman" w:eastAsia="方正仿宋_GBK"/>
          <w:bCs w:val="0"/>
          <w:color w:val="auto"/>
          <w:szCs w:val="32"/>
          <w:highlight w:val="none"/>
          <w:lang w:val="en-US" w:eastAsia="zh-CN"/>
        </w:rPr>
        <w:t>市气象局</w:t>
      </w:r>
      <w:r>
        <w:rPr>
          <w:rFonts w:hint="default" w:ascii="Times New Roman" w:hAnsi="Times New Roman" w:eastAsia="方正仿宋_GBK"/>
          <w:bCs w:val="0"/>
          <w:color w:val="auto"/>
          <w:szCs w:val="32"/>
          <w:highlight w:val="none"/>
        </w:rPr>
        <w:t>等部门按职责分工负责</w:t>
      </w:r>
      <w:r>
        <w:rPr>
          <w:rFonts w:hint="eastAsia" w:ascii="Times New Roman" w:hAnsi="Times New Roman" w:eastAsia="方正仿宋_GBK"/>
          <w:bCs w:val="0"/>
          <w:color w:val="auto"/>
          <w:szCs w:val="32"/>
          <w:highlight w:val="none"/>
          <w:lang w:eastAsia="zh-CN"/>
        </w:rPr>
        <w:t>）</w:t>
      </w:r>
    </w:p>
    <w:p w14:paraId="5D58899C">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78" w:lineRule="exact"/>
        <w:ind w:firstLine="640" w:firstLineChars="200"/>
        <w:textAlignment w:val="auto"/>
        <w:rPr>
          <w:rFonts w:hint="default" w:ascii="Times New Roman" w:hAnsi="Times New Roman" w:eastAsia="方正仿宋_GBK"/>
          <w:bCs w:val="0"/>
          <w:color w:val="auto"/>
          <w:szCs w:val="32"/>
          <w:highlight w:val="none"/>
        </w:rPr>
      </w:pPr>
      <w:r>
        <w:rPr>
          <w:rFonts w:ascii="方正楷体_GBK" w:hAnsi="方正楷体_GBK" w:cs="方正楷体_GBK"/>
          <w:bCs w:val="0"/>
          <w:color w:val="auto"/>
          <w:szCs w:val="32"/>
          <w:highlight w:val="none"/>
        </w:rPr>
        <w:t>（七）深度参与全国碳排放市场运行。</w:t>
      </w:r>
      <w:r>
        <w:rPr>
          <w:rFonts w:hint="default" w:ascii="Times New Roman" w:hAnsi="Times New Roman" w:eastAsia="方正仿宋_GBK"/>
          <w:bCs w:val="0"/>
          <w:color w:val="auto"/>
          <w:szCs w:val="32"/>
          <w:highlight w:val="none"/>
        </w:rPr>
        <w:t>开展温室气体排放清单编制。积极参与碳市场建设，配合做好全国碳排放权交易市场相关工作。充分挖掘白城风电光伏项目CCER开发潜力，强化自愿减排项目全链条管理。稳慎推进绿色金融产品创新，探索碳排放权相关融资服务。</w:t>
      </w:r>
      <w:r>
        <w:rPr>
          <w:rFonts w:hint="eastAsia" w:ascii="Times New Roman" w:hAnsi="Times New Roman" w:eastAsia="方正仿宋_GBK"/>
          <w:bCs w:val="0"/>
          <w:color w:val="auto"/>
          <w:szCs w:val="32"/>
          <w:highlight w:val="none"/>
          <w:lang w:eastAsia="zh-CN"/>
        </w:rPr>
        <w:t>（</w:t>
      </w:r>
      <w:r>
        <w:rPr>
          <w:rFonts w:hint="eastAsia" w:ascii="Times New Roman" w:hAnsi="Times New Roman" w:eastAsia="方正仿宋_GBK"/>
          <w:bCs w:val="0"/>
          <w:color w:val="auto"/>
          <w:szCs w:val="32"/>
          <w:highlight w:val="none"/>
          <w:lang w:val="en-US" w:eastAsia="zh-CN"/>
        </w:rPr>
        <w:t>市发改委、市生态环境局、市金融办、人民银行白城市支行、金融监管总局白城分局</w:t>
      </w:r>
      <w:r>
        <w:rPr>
          <w:rFonts w:hint="default" w:ascii="Times New Roman" w:hAnsi="Times New Roman" w:eastAsia="方正仿宋_GBK"/>
          <w:bCs w:val="0"/>
          <w:color w:val="auto"/>
          <w:szCs w:val="32"/>
          <w:highlight w:val="none"/>
        </w:rPr>
        <w:t>等部门按职责分工负责</w:t>
      </w:r>
      <w:r>
        <w:rPr>
          <w:rFonts w:hint="eastAsia" w:ascii="Times New Roman" w:hAnsi="Times New Roman" w:eastAsia="方正仿宋_GBK"/>
          <w:bCs w:val="0"/>
          <w:color w:val="auto"/>
          <w:szCs w:val="32"/>
          <w:highlight w:val="none"/>
          <w:lang w:eastAsia="zh-CN"/>
        </w:rPr>
        <w:t>）</w:t>
      </w:r>
    </w:p>
    <w:p w14:paraId="057AE1FA">
      <w:pPr>
        <w:pStyle w:val="3"/>
        <w:keepNext w:val="0"/>
        <w:keepLines w:val="0"/>
        <w:pageBreakBefore w:val="0"/>
        <w:widowControl w:val="0"/>
        <w:kinsoku/>
        <w:wordWrap/>
        <w:overflowPunct/>
        <w:topLinePunct w:val="0"/>
        <w:autoSpaceDE/>
        <w:autoSpaceDN/>
        <w:bidi w:val="0"/>
        <w:adjustRightInd/>
        <w:snapToGrid/>
        <w:spacing w:before="0" w:after="0" w:line="578" w:lineRule="exact"/>
        <w:ind w:firstLine="640" w:firstLineChars="200"/>
        <w:jc w:val="left"/>
        <w:textAlignment w:val="auto"/>
        <w:rPr>
          <w:rFonts w:ascii="方正黑体_GBK" w:hAnsi="方正黑体_GBK" w:eastAsia="方正黑体_GBK" w:cs="方正黑体_GBK"/>
          <w:bCs w:val="0"/>
          <w:color w:val="auto"/>
          <w:highlight w:val="none"/>
        </w:rPr>
      </w:pPr>
      <w:bookmarkStart w:id="10" w:name="_Toc7550"/>
      <w:r>
        <w:rPr>
          <w:rFonts w:ascii="方正黑体_GBK" w:hAnsi="方正黑体_GBK" w:eastAsia="方正黑体_GBK" w:cs="方正黑体_GBK"/>
          <w:bCs w:val="0"/>
          <w:color w:val="auto"/>
          <w:highlight w:val="none"/>
        </w:rPr>
        <w:t>三、</w:t>
      </w:r>
      <w:bookmarkEnd w:id="9"/>
      <w:r>
        <w:rPr>
          <w:rFonts w:ascii="方正黑体_GBK" w:hAnsi="方正黑体_GBK" w:eastAsia="方正黑体_GBK" w:cs="方正黑体_GBK"/>
          <w:bCs w:val="0"/>
          <w:color w:val="auto"/>
          <w:highlight w:val="none"/>
        </w:rPr>
        <w:t>聚焦突出问题攻坚，提升生态环境品质实现新改善</w:t>
      </w:r>
      <w:bookmarkEnd w:id="10"/>
    </w:p>
    <w:p w14:paraId="12086A0C">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78" w:lineRule="exact"/>
        <w:ind w:firstLine="640" w:firstLineChars="200"/>
        <w:textAlignment w:val="auto"/>
        <w:rPr>
          <w:rFonts w:hint="eastAsia" w:ascii="Times New Roman" w:hAnsi="Times New Roman" w:eastAsia="方正仿宋_GBK"/>
          <w:bCs w:val="0"/>
          <w:color w:val="auto"/>
          <w:szCs w:val="32"/>
          <w:highlight w:val="none"/>
          <w:lang w:eastAsia="zh-CN"/>
        </w:rPr>
      </w:pPr>
      <w:r>
        <w:rPr>
          <w:rFonts w:hint="default" w:ascii="方正楷体_GBK" w:hAnsi="方正楷体_GBK" w:cs="方正楷体_GBK"/>
          <w:bCs w:val="0"/>
          <w:color w:val="auto"/>
          <w:szCs w:val="32"/>
          <w:highlight w:val="none"/>
        </w:rPr>
        <w:t>（</w:t>
      </w:r>
      <w:r>
        <w:rPr>
          <w:rFonts w:hint="eastAsia" w:ascii="方正楷体_GBK" w:hAnsi="方正楷体_GBK" w:cs="方正楷体_GBK"/>
          <w:bCs w:val="0"/>
          <w:color w:val="auto"/>
          <w:szCs w:val="32"/>
          <w:highlight w:val="none"/>
          <w:lang w:val="en-US" w:eastAsia="zh-CN"/>
        </w:rPr>
        <w:t>八</w:t>
      </w:r>
      <w:r>
        <w:rPr>
          <w:rFonts w:hint="default" w:ascii="方正楷体_GBK" w:hAnsi="方正楷体_GBK" w:cs="方正楷体_GBK"/>
          <w:bCs w:val="0"/>
          <w:color w:val="auto"/>
          <w:szCs w:val="32"/>
          <w:highlight w:val="none"/>
        </w:rPr>
        <w:t>）守护白城蓝天</w:t>
      </w:r>
      <w:r>
        <w:rPr>
          <w:rFonts w:ascii="方正楷体_GBK" w:hAnsi="方正楷体_GBK" w:cs="方正楷体_GBK"/>
          <w:bCs w:val="0"/>
          <w:color w:val="auto"/>
          <w:szCs w:val="32"/>
          <w:highlight w:val="none"/>
        </w:rPr>
        <w:t>。</w:t>
      </w:r>
      <w:r>
        <w:rPr>
          <w:rFonts w:hint="default" w:ascii="Times New Roman" w:hAnsi="Times New Roman" w:eastAsia="方正仿宋_GBK"/>
          <w:bCs w:val="0"/>
          <w:color w:val="auto"/>
          <w:szCs w:val="32"/>
          <w:highlight w:val="none"/>
        </w:rPr>
        <w:t>推动区域协同治理和重污染天气应急管理，针对春季沙尘、夏秋季臭氧、秋冬季颗粒物特征实施季节性差异化管控。开展传统涉气产业升级改造，推进35蒸吨以上</w:t>
      </w:r>
      <w:r>
        <w:rPr>
          <w:rFonts w:hint="eastAsia" w:ascii="Times New Roman" w:hAnsi="Times New Roman" w:eastAsia="方正仿宋_GBK"/>
          <w:bCs w:val="0"/>
          <w:color w:val="auto"/>
          <w:szCs w:val="32"/>
          <w:highlight w:val="none"/>
          <w:lang w:val="en-US" w:eastAsia="zh-CN"/>
        </w:rPr>
        <w:t>65蒸吨以下</w:t>
      </w:r>
      <w:r>
        <w:rPr>
          <w:rFonts w:hint="default" w:ascii="Times New Roman" w:hAnsi="Times New Roman" w:eastAsia="方正仿宋_GBK"/>
          <w:bCs w:val="0"/>
          <w:color w:val="auto"/>
          <w:szCs w:val="32"/>
          <w:highlight w:val="none"/>
        </w:rPr>
        <w:t>燃煤锅炉超低排放改造，强化钢铁等行业超低排放改造运行管理。持续推进重污染天气重点行业绩效分级管理，鼓励企业争创A级企业。全面开展大气污染治理设施低效失效排查。重点推进吉林梅花氨基酸原料车间气味治理和环保设备升级改造，切实解决群众反映强烈的异味问题</w:t>
      </w:r>
      <w:r>
        <w:rPr>
          <w:rFonts w:ascii="Times New Roman" w:hAnsi="Times New Roman" w:eastAsia="方正仿宋_GBK"/>
          <w:bCs w:val="0"/>
          <w:color w:val="auto"/>
          <w:szCs w:val="32"/>
          <w:highlight w:val="none"/>
        </w:rPr>
        <w:t>。依托白城风电光伏资源优势，</w:t>
      </w:r>
      <w:r>
        <w:rPr>
          <w:rFonts w:hint="eastAsia" w:ascii="Times New Roman" w:hAnsi="Times New Roman" w:eastAsia="方正仿宋_GBK"/>
          <w:bCs w:val="0"/>
          <w:color w:val="auto"/>
          <w:szCs w:val="32"/>
          <w:highlight w:val="none"/>
          <w:lang w:val="en-US" w:eastAsia="zh-CN"/>
        </w:rPr>
        <w:t>启动</w:t>
      </w:r>
      <w:r>
        <w:rPr>
          <w:rFonts w:ascii="Times New Roman" w:hAnsi="Times New Roman" w:eastAsia="方正仿宋_GBK"/>
          <w:bCs w:val="0"/>
          <w:color w:val="auto"/>
          <w:szCs w:val="32"/>
          <w:highlight w:val="none"/>
        </w:rPr>
        <w:t>工业窑炉“煤改电”示范。完善秸秆离田收储运体系，从源头减少露天焚烧隐患。</w:t>
      </w:r>
      <w:r>
        <w:rPr>
          <w:rFonts w:hint="default" w:ascii="Times New Roman" w:hAnsi="Times New Roman" w:eastAsia="方正仿宋_GBK"/>
          <w:bCs w:val="0"/>
          <w:color w:val="auto"/>
          <w:szCs w:val="32"/>
          <w:highlight w:val="none"/>
        </w:rPr>
        <w:t>加强移动源末端治理，强化施工、道路、裸地、堆场系统扬尘治理。探索恶臭和油烟分级分类管控。</w:t>
      </w:r>
      <w:r>
        <w:rPr>
          <w:rFonts w:hint="eastAsia" w:ascii="Times New Roman" w:hAnsi="Times New Roman" w:eastAsia="方正仿宋_GBK"/>
          <w:bCs w:val="0"/>
          <w:color w:val="auto"/>
          <w:szCs w:val="32"/>
          <w:highlight w:val="none"/>
          <w:lang w:eastAsia="zh-CN"/>
        </w:rPr>
        <w:t>巩固城市空气质量达标成果，推动空气质量持续改善</w:t>
      </w:r>
      <w:r>
        <w:rPr>
          <w:rFonts w:hint="default" w:ascii="Times New Roman" w:hAnsi="Times New Roman" w:eastAsia="方正仿宋_GBK"/>
          <w:bCs w:val="0"/>
          <w:color w:val="auto"/>
          <w:szCs w:val="32"/>
          <w:highlight w:val="none"/>
        </w:rPr>
        <w:t>。</w:t>
      </w:r>
      <w:r>
        <w:rPr>
          <w:rFonts w:hint="eastAsia" w:ascii="Times New Roman" w:hAnsi="Times New Roman" w:eastAsia="方正仿宋_GBK"/>
          <w:bCs w:val="0"/>
          <w:color w:val="auto"/>
          <w:szCs w:val="32"/>
          <w:highlight w:val="none"/>
          <w:lang w:eastAsia="zh-CN"/>
        </w:rPr>
        <w:t>（</w:t>
      </w:r>
      <w:r>
        <w:rPr>
          <w:rFonts w:hint="eastAsia" w:ascii="Times New Roman" w:hAnsi="Times New Roman" w:eastAsia="方正仿宋_GBK"/>
          <w:bCs w:val="0"/>
          <w:color w:val="auto"/>
          <w:szCs w:val="32"/>
          <w:highlight w:val="none"/>
          <w:lang w:val="en-US" w:eastAsia="zh-CN"/>
        </w:rPr>
        <w:t>市工信局、市生态环境局、市住建局、市交通局、市农业农村局、市</w:t>
      </w:r>
      <w:r>
        <w:rPr>
          <w:rFonts w:hint="eastAsia" w:ascii="Times New Roman" w:hAnsi="Times New Roman" w:eastAsia="方正仿宋_GBK"/>
          <w:bCs w:val="0"/>
          <w:color w:val="auto"/>
          <w:szCs w:val="32"/>
          <w:highlight w:val="none"/>
        </w:rPr>
        <w:t>市场监管</w:t>
      </w:r>
      <w:r>
        <w:rPr>
          <w:rFonts w:hint="eastAsia" w:ascii="Times New Roman" w:hAnsi="Times New Roman" w:eastAsia="方正仿宋_GBK"/>
          <w:bCs w:val="0"/>
          <w:color w:val="auto"/>
          <w:szCs w:val="32"/>
          <w:highlight w:val="none"/>
          <w:lang w:val="en-US" w:eastAsia="zh-CN"/>
        </w:rPr>
        <w:t>局</w:t>
      </w:r>
      <w:r>
        <w:rPr>
          <w:rFonts w:hint="eastAsia" w:ascii="Times New Roman" w:hAnsi="Times New Roman" w:eastAsia="方正仿宋_GBK"/>
          <w:bCs w:val="0"/>
          <w:color w:val="auto"/>
          <w:szCs w:val="32"/>
          <w:highlight w:val="none"/>
        </w:rPr>
        <w:t>等部门按职责分工负责</w:t>
      </w:r>
      <w:r>
        <w:rPr>
          <w:rFonts w:hint="eastAsia" w:ascii="Times New Roman" w:hAnsi="Times New Roman" w:eastAsia="方正仿宋_GBK"/>
          <w:bCs w:val="0"/>
          <w:color w:val="auto"/>
          <w:szCs w:val="32"/>
          <w:highlight w:val="none"/>
          <w:lang w:eastAsia="zh-CN"/>
        </w:rPr>
        <w:t>）</w:t>
      </w:r>
    </w:p>
    <w:p w14:paraId="3F81F07E">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78" w:lineRule="exact"/>
        <w:ind w:firstLine="640" w:firstLineChars="200"/>
        <w:textAlignment w:val="auto"/>
        <w:rPr>
          <w:rFonts w:hint="eastAsia" w:ascii="Times New Roman" w:hAnsi="Times New Roman" w:eastAsia="方正仿宋_GBK"/>
          <w:bCs w:val="0"/>
          <w:color w:val="auto"/>
          <w:szCs w:val="32"/>
          <w:highlight w:val="none"/>
          <w:lang w:eastAsia="zh-CN"/>
        </w:rPr>
      </w:pPr>
      <w:r>
        <w:rPr>
          <w:rFonts w:hint="default" w:ascii="方正楷体_GBK" w:hAnsi="方正楷体_GBK" w:cs="方正楷体_GBK"/>
          <w:bCs w:val="0"/>
          <w:color w:val="auto"/>
          <w:szCs w:val="32"/>
          <w:highlight w:val="none"/>
        </w:rPr>
        <w:t>（</w:t>
      </w:r>
      <w:r>
        <w:rPr>
          <w:rFonts w:hint="eastAsia" w:ascii="方正楷体_GBK" w:hAnsi="方正楷体_GBK" w:cs="方正楷体_GBK"/>
          <w:bCs w:val="0"/>
          <w:color w:val="auto"/>
          <w:szCs w:val="32"/>
          <w:highlight w:val="none"/>
          <w:lang w:val="en-US" w:eastAsia="zh-CN"/>
        </w:rPr>
        <w:t>九</w:t>
      </w:r>
      <w:r>
        <w:rPr>
          <w:rFonts w:hint="default" w:ascii="方正楷体_GBK" w:hAnsi="方正楷体_GBK" w:cs="方正楷体_GBK"/>
          <w:bCs w:val="0"/>
          <w:color w:val="auto"/>
          <w:szCs w:val="32"/>
          <w:highlight w:val="none"/>
        </w:rPr>
        <w:t>）擦亮西部河湖生态名片</w:t>
      </w:r>
      <w:r>
        <w:rPr>
          <w:rFonts w:ascii="方正楷体_GBK" w:hAnsi="方正楷体_GBK" w:cs="方正楷体_GBK"/>
          <w:bCs w:val="0"/>
          <w:color w:val="auto"/>
          <w:szCs w:val="32"/>
          <w:highlight w:val="none"/>
        </w:rPr>
        <w:t>。</w:t>
      </w:r>
      <w:r>
        <w:rPr>
          <w:rFonts w:hint="eastAsia" w:ascii="Times New Roman" w:hAnsi="Times New Roman" w:eastAsia="方正仿宋_GBK"/>
          <w:bCs w:val="0"/>
          <w:color w:val="auto"/>
          <w:szCs w:val="32"/>
          <w:highlight w:val="none"/>
          <w:lang w:eastAsia="zh-CN"/>
        </w:rPr>
        <w:t>将“三纵三横”水系布局和区域双循环水系构建</w:t>
      </w:r>
      <w:r>
        <w:rPr>
          <w:rFonts w:ascii="Times New Roman" w:hAnsi="Times New Roman" w:eastAsia="方正仿宋_GBK"/>
          <w:bCs w:val="0"/>
          <w:color w:val="auto"/>
          <w:szCs w:val="32"/>
          <w:highlight w:val="none"/>
        </w:rPr>
        <w:t>作为白城水生态环境治理的总抓手——以引嫩济洮济霍工程为骨干通道，以洮儿河、霍林河生态修复为关键节点，以向海、莫莫格</w:t>
      </w:r>
      <w:r>
        <w:rPr>
          <w:rFonts w:hint="eastAsia" w:ascii="Times New Roman" w:hAnsi="Times New Roman" w:eastAsia="方正仿宋_GBK"/>
          <w:bCs w:val="0"/>
          <w:color w:val="auto"/>
          <w:szCs w:val="32"/>
          <w:highlight w:val="none"/>
          <w:lang w:val="en-US" w:eastAsia="zh-CN"/>
        </w:rPr>
        <w:t>湿地</w:t>
      </w:r>
      <w:r>
        <w:rPr>
          <w:rFonts w:ascii="Times New Roman" w:hAnsi="Times New Roman" w:eastAsia="方正仿宋_GBK"/>
          <w:bCs w:val="0"/>
          <w:color w:val="auto"/>
          <w:szCs w:val="32"/>
          <w:highlight w:val="none"/>
        </w:rPr>
        <w:t>为生态中心，统筹水量调配、水质改善、水生态修复。</w:t>
      </w:r>
      <w:r>
        <w:rPr>
          <w:rFonts w:ascii="Times New Roman" w:hAnsi="Times New Roman" w:eastAsia="方正仿宋_GBK"/>
          <w:bCs w:val="0"/>
          <w:color w:val="auto"/>
          <w:szCs w:val="32"/>
          <w:highlight w:val="none"/>
          <w:lang w:val="en-US" w:eastAsia="zh-CN"/>
        </w:rPr>
        <w:t>谋划实施霍林河流域水生态保护修复</w:t>
      </w:r>
      <w:r>
        <w:rPr>
          <w:rFonts w:hint="eastAsia" w:ascii="Times New Roman" w:hAnsi="Times New Roman" w:eastAsia="方正仿宋_GBK"/>
          <w:bCs w:val="0"/>
          <w:color w:val="auto"/>
          <w:szCs w:val="32"/>
          <w:highlight w:val="none"/>
          <w:lang w:val="en-US" w:eastAsia="zh-CN"/>
        </w:rPr>
        <w:t>和洮儿河水生态保护修复，实施白城东湖水生态治理，推进黑鱼湖“幸福河湖”创建</w:t>
      </w:r>
      <w:r>
        <w:rPr>
          <w:rFonts w:hint="eastAsia" w:ascii="Times New Roman" w:hAnsi="Times New Roman" w:eastAsia="方正仿宋_GBK"/>
          <w:bCs w:val="0"/>
          <w:color w:val="auto"/>
          <w:szCs w:val="32"/>
          <w:highlight w:val="none"/>
          <w:lang w:eastAsia="zh-CN"/>
        </w:rPr>
        <w:t>和200公里绿水长廊建设。</w:t>
      </w:r>
      <w:r>
        <w:rPr>
          <w:rFonts w:ascii="Times New Roman" w:hAnsi="Times New Roman" w:eastAsia="方正仿宋_GBK"/>
          <w:bCs w:val="0"/>
          <w:color w:val="auto"/>
          <w:szCs w:val="32"/>
          <w:highlight w:val="none"/>
        </w:rPr>
        <w:t>推进查干湖（大安片区）水环境综合治理与牛心套保国家级湿地公园协同保护。实施镇赉洋沙泡饮用水水源地排污口整治、查干湖大安灌区水生态修复与水质净化、洮南洮儿河流域洮府段生态修复等重点工程</w:t>
      </w:r>
      <w:r>
        <w:rPr>
          <w:rFonts w:hint="eastAsia" w:ascii="Times New Roman" w:hAnsi="Times New Roman" w:eastAsia="方正仿宋_GBK"/>
          <w:bCs w:val="0"/>
          <w:color w:val="auto"/>
          <w:szCs w:val="32"/>
          <w:highlight w:val="none"/>
          <w:lang w:eastAsia="zh-CN"/>
        </w:rPr>
        <w:t>。</w:t>
      </w:r>
      <w:r>
        <w:rPr>
          <w:rFonts w:hint="default" w:ascii="Times New Roman" w:hAnsi="Times New Roman" w:eastAsia="方正仿宋_GBK"/>
          <w:bCs w:val="0"/>
          <w:color w:val="auto"/>
          <w:szCs w:val="32"/>
          <w:highlight w:val="none"/>
        </w:rPr>
        <w:t>因地制宜推进雨污分流改造，提升老城区、城中村污水收集处理效能，推进县级污水处理厂提标改造。加大农田退水治理力度，梯次提升农村生活污水治理水平。加强小微水体保护治理，推进江河湖库清漂。全面推进饮用水水源地治理。完善河湖生态流量目标管理体系，因地制宜建设河湖生态缓冲带。有序推进美丽河湖建设。</w:t>
      </w:r>
      <w:r>
        <w:rPr>
          <w:rFonts w:hint="eastAsia" w:ascii="Times New Roman" w:hAnsi="Times New Roman" w:eastAsia="方正仿宋_GBK"/>
          <w:bCs w:val="0"/>
          <w:color w:val="auto"/>
          <w:szCs w:val="32"/>
          <w:highlight w:val="none"/>
          <w:lang w:eastAsia="zh-CN"/>
        </w:rPr>
        <w:t>（</w:t>
      </w:r>
      <w:r>
        <w:rPr>
          <w:rFonts w:hint="eastAsia" w:ascii="Times New Roman" w:hAnsi="Times New Roman" w:eastAsia="方正仿宋_GBK"/>
          <w:bCs w:val="0"/>
          <w:color w:val="auto"/>
          <w:szCs w:val="32"/>
          <w:highlight w:val="none"/>
          <w:lang w:val="en-US" w:eastAsia="zh-CN"/>
        </w:rPr>
        <w:t>市生态环境局、市住建局、市交通局、市水利局、市农业农村局、市畜牧局</w:t>
      </w:r>
      <w:r>
        <w:rPr>
          <w:rFonts w:hint="eastAsia" w:ascii="Times New Roman" w:hAnsi="Times New Roman" w:eastAsia="方正仿宋_GBK"/>
          <w:bCs w:val="0"/>
          <w:color w:val="auto"/>
          <w:szCs w:val="32"/>
          <w:highlight w:val="none"/>
        </w:rPr>
        <w:t>等部门按职责分工负责</w:t>
      </w:r>
      <w:r>
        <w:rPr>
          <w:rFonts w:hint="eastAsia" w:ascii="Times New Roman" w:hAnsi="Times New Roman" w:eastAsia="方正仿宋_GBK"/>
          <w:bCs w:val="0"/>
          <w:color w:val="auto"/>
          <w:szCs w:val="32"/>
          <w:highlight w:val="none"/>
          <w:lang w:eastAsia="zh-CN"/>
        </w:rPr>
        <w:t>）</w:t>
      </w:r>
    </w:p>
    <w:p w14:paraId="30CE5BA9">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78" w:lineRule="exact"/>
        <w:ind w:firstLine="640" w:firstLineChars="200"/>
        <w:textAlignment w:val="auto"/>
        <w:rPr>
          <w:rFonts w:hint="eastAsia" w:ascii="Times New Roman" w:hAnsi="Times New Roman" w:eastAsia="方正仿宋_GBK"/>
          <w:bCs w:val="0"/>
          <w:color w:val="auto"/>
          <w:szCs w:val="32"/>
          <w:highlight w:val="none"/>
          <w:lang w:eastAsia="zh-CN"/>
        </w:rPr>
      </w:pPr>
      <w:r>
        <w:rPr>
          <w:rFonts w:hint="default" w:ascii="方正楷体_GBK" w:hAnsi="方正楷体_GBK" w:cs="方正楷体_GBK"/>
          <w:bCs w:val="0"/>
          <w:color w:val="auto"/>
          <w:szCs w:val="32"/>
          <w:highlight w:val="none"/>
        </w:rPr>
        <w:t>（</w:t>
      </w:r>
      <w:r>
        <w:rPr>
          <w:rFonts w:hint="eastAsia" w:ascii="方正楷体_GBK" w:hAnsi="方正楷体_GBK" w:cs="方正楷体_GBK"/>
          <w:bCs w:val="0"/>
          <w:color w:val="auto"/>
          <w:szCs w:val="32"/>
          <w:highlight w:val="none"/>
          <w:lang w:val="en-US" w:eastAsia="zh-CN"/>
        </w:rPr>
        <w:t>十</w:t>
      </w:r>
      <w:r>
        <w:rPr>
          <w:rFonts w:hint="default" w:ascii="方正楷体_GBK" w:hAnsi="方正楷体_GBK" w:cs="方正楷体_GBK"/>
          <w:bCs w:val="0"/>
          <w:color w:val="auto"/>
          <w:szCs w:val="32"/>
          <w:highlight w:val="none"/>
        </w:rPr>
        <w:t>）守护黑土地和地下水安全</w:t>
      </w:r>
      <w:r>
        <w:rPr>
          <w:rFonts w:ascii="方正楷体_GBK" w:hAnsi="方正楷体_GBK" w:cs="方正楷体_GBK"/>
          <w:bCs w:val="0"/>
          <w:color w:val="auto"/>
          <w:szCs w:val="32"/>
          <w:highlight w:val="none"/>
        </w:rPr>
        <w:t>。</w:t>
      </w:r>
      <w:r>
        <w:rPr>
          <w:rFonts w:ascii="Times New Roman" w:hAnsi="Times New Roman" w:eastAsia="方正仿宋_GBK"/>
          <w:bCs w:val="0"/>
          <w:color w:val="auto"/>
          <w:szCs w:val="32"/>
          <w:highlight w:val="none"/>
        </w:rPr>
        <w:t>总结推广大安、镇赉、通榆盐碱地综合治理“三种模式”的生态安全评估成果，建立盐碱地开发项目全生命周期生态环境监控机制——开发前开展土壤本底调查，开发中监测地下水水位与盐分变化，开发后跟踪土壤有机质恢复进程。对洮北区、洮南市等黑土地集中区，实施小流域水土流失综合治理和侵蚀沟专项治理。建立涉重金属行业企业全生命周期监管清单，对历史遗留污染地块实施“一地一策”风险管控。</w:t>
      </w:r>
      <w:r>
        <w:rPr>
          <w:rFonts w:hint="default" w:ascii="Times New Roman" w:hAnsi="Times New Roman" w:eastAsia="方正仿宋_GBK"/>
          <w:bCs w:val="0"/>
          <w:color w:val="auto"/>
          <w:szCs w:val="32"/>
          <w:highlight w:val="none"/>
        </w:rPr>
        <w:t>严格建设用地土壤环境准入管理，加强化工等企业腾退地块污染管控。</w:t>
      </w:r>
      <w:r>
        <w:rPr>
          <w:rFonts w:hint="eastAsia" w:ascii="仿宋_GB2312" w:hAnsi="仿宋_GB2312" w:eastAsia="仿宋_GB2312" w:cs="仿宋_GB2312"/>
          <w:b w:val="0"/>
          <w:bCs w:val="0"/>
          <w:color w:val="auto"/>
          <w:highlight w:val="none"/>
          <w:lang w:bidi="ar-SA"/>
        </w:rPr>
        <w:t>推动土壤和地下水协同防治</w:t>
      </w:r>
      <w:r>
        <w:rPr>
          <w:rFonts w:hint="eastAsia" w:ascii="仿宋_GB2312" w:hAnsi="仿宋_GB2312" w:eastAsia="仿宋_GB2312" w:cs="仿宋_GB2312"/>
          <w:b w:val="0"/>
          <w:bCs w:val="0"/>
          <w:color w:val="auto"/>
          <w:highlight w:val="none"/>
          <w:lang w:eastAsia="zh-CN" w:bidi="ar-SA"/>
        </w:rPr>
        <w:t>，</w:t>
      </w:r>
      <w:r>
        <w:rPr>
          <w:rFonts w:hint="eastAsia" w:ascii="Times New Roman" w:hAnsi="Times New Roman" w:eastAsia="方正仿宋_GBK"/>
          <w:bCs w:val="0"/>
          <w:color w:val="auto"/>
          <w:szCs w:val="32"/>
          <w:highlight w:val="none"/>
          <w:lang w:val="en-US" w:eastAsia="zh-CN"/>
        </w:rPr>
        <w:t>推进实施</w:t>
      </w:r>
      <w:r>
        <w:rPr>
          <w:rFonts w:hint="default" w:ascii="Times New Roman" w:hAnsi="Times New Roman" w:eastAsia="方正仿宋_GBK"/>
          <w:bCs w:val="0"/>
          <w:color w:val="auto"/>
          <w:szCs w:val="32"/>
          <w:highlight w:val="none"/>
        </w:rPr>
        <w:t>实施地下水环境分区管理、分级防治，加强化工园区地下水污染整治。到2030年，受污染耕地安全利用率稳定在</w:t>
      </w:r>
      <w:r>
        <w:rPr>
          <w:rFonts w:hint="eastAsia" w:ascii="Times New Roman" w:hAnsi="Times New Roman" w:eastAsia="方正仿宋_GBK"/>
          <w:bCs w:val="0"/>
          <w:color w:val="auto"/>
          <w:szCs w:val="32"/>
          <w:highlight w:val="none"/>
          <w:lang w:val="en-US" w:eastAsia="zh-CN"/>
        </w:rPr>
        <w:t>95</w:t>
      </w:r>
      <w:r>
        <w:rPr>
          <w:rFonts w:hint="default" w:ascii="Times New Roman" w:hAnsi="Times New Roman" w:eastAsia="方正仿宋_GBK"/>
          <w:bCs w:val="0"/>
          <w:color w:val="auto"/>
          <w:szCs w:val="32"/>
          <w:highlight w:val="none"/>
        </w:rPr>
        <w:t>%以上，农膜回收率达到</w:t>
      </w:r>
      <w:r>
        <w:rPr>
          <w:rFonts w:hint="eastAsia" w:ascii="Times New Roman" w:hAnsi="Times New Roman" w:eastAsia="方正仿宋_GBK"/>
          <w:bCs w:val="0"/>
          <w:color w:val="auto"/>
          <w:szCs w:val="32"/>
          <w:highlight w:val="none"/>
          <w:lang w:val="en-US" w:eastAsia="zh-CN"/>
        </w:rPr>
        <w:t>85</w:t>
      </w:r>
      <w:r>
        <w:rPr>
          <w:rFonts w:hint="default" w:ascii="Times New Roman" w:hAnsi="Times New Roman" w:eastAsia="方正仿宋_GBK"/>
          <w:bCs w:val="0"/>
          <w:color w:val="auto"/>
          <w:szCs w:val="32"/>
          <w:highlight w:val="none"/>
        </w:rPr>
        <w:t>%以上。</w:t>
      </w:r>
      <w:r>
        <w:rPr>
          <w:rFonts w:hint="eastAsia" w:ascii="Times New Roman" w:hAnsi="Times New Roman" w:eastAsia="方正仿宋_GBK"/>
          <w:bCs w:val="0"/>
          <w:color w:val="auto"/>
          <w:szCs w:val="32"/>
          <w:highlight w:val="none"/>
          <w:lang w:eastAsia="zh-CN"/>
        </w:rPr>
        <w:t>（</w:t>
      </w:r>
      <w:r>
        <w:rPr>
          <w:rFonts w:hint="eastAsia" w:ascii="Times New Roman" w:hAnsi="Times New Roman" w:eastAsia="方正仿宋_GBK"/>
          <w:bCs w:val="0"/>
          <w:color w:val="auto"/>
          <w:szCs w:val="32"/>
          <w:highlight w:val="none"/>
          <w:lang w:val="en-US" w:eastAsia="zh-CN"/>
        </w:rPr>
        <w:t>市</w:t>
      </w:r>
      <w:r>
        <w:rPr>
          <w:rFonts w:hint="default" w:ascii="Times New Roman" w:hAnsi="Times New Roman" w:eastAsia="方正仿宋_GBK"/>
          <w:bCs w:val="0"/>
          <w:color w:val="auto"/>
          <w:szCs w:val="32"/>
          <w:highlight w:val="none"/>
        </w:rPr>
        <w:t>自然资源</w:t>
      </w:r>
      <w:r>
        <w:rPr>
          <w:rFonts w:hint="eastAsia" w:ascii="Times New Roman" w:hAnsi="Times New Roman" w:eastAsia="方正仿宋_GBK"/>
          <w:bCs w:val="0"/>
          <w:color w:val="auto"/>
          <w:szCs w:val="32"/>
          <w:highlight w:val="none"/>
          <w:lang w:val="en-US" w:eastAsia="zh-CN"/>
        </w:rPr>
        <w:t>局</w:t>
      </w:r>
      <w:r>
        <w:rPr>
          <w:rFonts w:hint="default" w:ascii="Times New Roman" w:hAnsi="Times New Roman" w:eastAsia="方正仿宋_GBK"/>
          <w:bCs w:val="0"/>
          <w:color w:val="auto"/>
          <w:szCs w:val="32"/>
          <w:highlight w:val="none"/>
        </w:rPr>
        <w:t>、</w:t>
      </w:r>
      <w:r>
        <w:rPr>
          <w:rFonts w:hint="eastAsia" w:ascii="Times New Roman" w:hAnsi="Times New Roman" w:eastAsia="方正仿宋_GBK"/>
          <w:bCs w:val="0"/>
          <w:color w:val="auto"/>
          <w:szCs w:val="32"/>
          <w:highlight w:val="none"/>
          <w:lang w:val="en-US" w:eastAsia="zh-CN"/>
        </w:rPr>
        <w:t>市生态环境局、市水利局、市农业农村局、市畜牧局</w:t>
      </w:r>
      <w:r>
        <w:rPr>
          <w:rFonts w:hint="eastAsia" w:ascii="Times New Roman" w:hAnsi="Times New Roman" w:eastAsia="方正仿宋_GBK"/>
          <w:bCs w:val="0"/>
          <w:color w:val="auto"/>
          <w:szCs w:val="32"/>
          <w:highlight w:val="none"/>
        </w:rPr>
        <w:t>等部门按职责分工负责</w:t>
      </w:r>
      <w:r>
        <w:rPr>
          <w:rFonts w:hint="eastAsia" w:ascii="Times New Roman" w:hAnsi="Times New Roman" w:eastAsia="方正仿宋_GBK"/>
          <w:bCs w:val="0"/>
          <w:color w:val="auto"/>
          <w:szCs w:val="32"/>
          <w:highlight w:val="none"/>
          <w:lang w:eastAsia="zh-CN"/>
        </w:rPr>
        <w:t>）</w:t>
      </w:r>
    </w:p>
    <w:p w14:paraId="6A80154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78" w:lineRule="exact"/>
        <w:ind w:firstLine="640" w:firstLineChars="200"/>
        <w:textAlignment w:val="auto"/>
        <w:rPr>
          <w:rFonts w:hint="eastAsia" w:ascii="Times New Roman" w:hAnsi="Times New Roman" w:eastAsia="方正仿宋_GBK"/>
          <w:bCs w:val="0"/>
          <w:color w:val="auto"/>
          <w:szCs w:val="32"/>
          <w:highlight w:val="none"/>
          <w:lang w:eastAsia="zh-CN"/>
        </w:rPr>
      </w:pPr>
      <w:r>
        <w:rPr>
          <w:rFonts w:hint="default" w:ascii="方正楷体_GBK" w:hAnsi="方正楷体_GBK" w:cs="方正楷体_GBK"/>
          <w:bCs w:val="0"/>
          <w:color w:val="auto"/>
          <w:szCs w:val="32"/>
          <w:highlight w:val="none"/>
        </w:rPr>
        <w:t>（</w:t>
      </w:r>
      <w:r>
        <w:rPr>
          <w:rFonts w:hint="eastAsia" w:ascii="方正楷体_GBK" w:hAnsi="方正楷体_GBK" w:cs="方正楷体_GBK"/>
          <w:bCs w:val="0"/>
          <w:color w:val="auto"/>
          <w:szCs w:val="32"/>
          <w:highlight w:val="none"/>
          <w:lang w:val="en-US" w:eastAsia="zh-CN"/>
        </w:rPr>
        <w:t>十一</w:t>
      </w:r>
      <w:r>
        <w:rPr>
          <w:rFonts w:hint="default" w:ascii="方正楷体_GBK" w:hAnsi="方正楷体_GBK" w:cs="方正楷体_GBK"/>
          <w:bCs w:val="0"/>
          <w:color w:val="auto"/>
          <w:szCs w:val="32"/>
          <w:highlight w:val="none"/>
        </w:rPr>
        <w:t>）实施固体废物综合治理。</w:t>
      </w:r>
      <w:r>
        <w:rPr>
          <w:rFonts w:hint="eastAsia" w:ascii="Times New Roman" w:hAnsi="Times New Roman" w:eastAsia="方正仿宋_GBK"/>
          <w:bCs w:val="0"/>
          <w:color w:val="auto"/>
          <w:szCs w:val="32"/>
          <w:highlight w:val="none"/>
        </w:rPr>
        <w:t>强化工业固废全链条监管，提升规模化消纳利用能力。针对油气开采废油泥油土产量大的问题，重点提升处理处置能力，推进设施提标改造与规范运行。优化危险废物利用处置设施结构，推动涉危废单位实现“五即”智慧监管和“一码贯通”。严格控制危废填埋，加强垃圾填埋场渗滤液安全处置和焚烧飞灰无害化处理，推进飞灰资源化利用。结合新能源装备制造固废特性，分类管控风电退役叶片等复合材料回收利用，提前布局退役光伏组件、废旧电池等新兴固废回收体系。扎实推进非法倾倒处置固废专项整治，排查整治堆渣场、危废填埋场等环境风险隐患。健全废旧电器、“新三样”固废、快递包装等回收利用体系。全面推进“无废城市”建设，完善生活垃圾分类收集、运输、处置系统。开展塑料污染全链条治理，限制商品过度包装。到2030年，大宗工业固废填埋量占比持续下降，危废填埋占比控制在10%左右，生活垃圾焚烧处理能力全面提升。</w:t>
      </w:r>
      <w:r>
        <w:rPr>
          <w:rFonts w:hint="eastAsia" w:ascii="Times New Roman" w:hAnsi="Times New Roman" w:eastAsia="方正仿宋_GBK"/>
          <w:bCs w:val="0"/>
          <w:color w:val="auto"/>
          <w:szCs w:val="32"/>
          <w:highlight w:val="none"/>
          <w:lang w:eastAsia="zh-CN"/>
        </w:rPr>
        <w:t>（</w:t>
      </w:r>
      <w:r>
        <w:rPr>
          <w:rFonts w:hint="eastAsia" w:ascii="Times New Roman" w:hAnsi="Times New Roman" w:eastAsia="方正仿宋_GBK"/>
          <w:bCs w:val="0"/>
          <w:color w:val="auto"/>
          <w:szCs w:val="32"/>
          <w:highlight w:val="none"/>
          <w:lang w:val="en-US" w:eastAsia="zh-CN"/>
        </w:rPr>
        <w:t>市发改委、市</w:t>
      </w:r>
      <w:r>
        <w:rPr>
          <w:rFonts w:hint="default" w:ascii="Times New Roman" w:hAnsi="Times New Roman" w:eastAsia="方正仿宋_GBK"/>
          <w:bCs w:val="0"/>
          <w:color w:val="auto"/>
          <w:szCs w:val="32"/>
          <w:highlight w:val="none"/>
        </w:rPr>
        <w:t>自然资源</w:t>
      </w:r>
      <w:r>
        <w:rPr>
          <w:rFonts w:hint="eastAsia" w:ascii="Times New Roman" w:hAnsi="Times New Roman" w:eastAsia="方正仿宋_GBK"/>
          <w:bCs w:val="0"/>
          <w:color w:val="auto"/>
          <w:szCs w:val="32"/>
          <w:highlight w:val="none"/>
          <w:lang w:val="en-US" w:eastAsia="zh-CN"/>
        </w:rPr>
        <w:t>局</w:t>
      </w:r>
      <w:r>
        <w:rPr>
          <w:rFonts w:hint="default" w:ascii="Times New Roman" w:hAnsi="Times New Roman" w:eastAsia="方正仿宋_GBK"/>
          <w:bCs w:val="0"/>
          <w:color w:val="auto"/>
          <w:szCs w:val="32"/>
          <w:highlight w:val="none"/>
        </w:rPr>
        <w:t>、</w:t>
      </w:r>
      <w:r>
        <w:rPr>
          <w:rFonts w:hint="eastAsia" w:ascii="Times New Roman" w:hAnsi="Times New Roman" w:eastAsia="方正仿宋_GBK"/>
          <w:bCs w:val="0"/>
          <w:color w:val="auto"/>
          <w:szCs w:val="32"/>
          <w:highlight w:val="none"/>
          <w:lang w:val="en-US" w:eastAsia="zh-CN"/>
        </w:rPr>
        <w:t>市生态环境局、市住建局、市农业农村局、市商务局、市市场监管局、白城海关、市邮政局</w:t>
      </w:r>
      <w:r>
        <w:rPr>
          <w:rFonts w:hint="eastAsia" w:ascii="Times New Roman" w:hAnsi="Times New Roman" w:eastAsia="方正仿宋_GBK"/>
          <w:bCs w:val="0"/>
          <w:color w:val="auto"/>
          <w:szCs w:val="32"/>
          <w:highlight w:val="none"/>
        </w:rPr>
        <w:t>等部门按职责分工负责</w:t>
      </w:r>
      <w:r>
        <w:rPr>
          <w:rFonts w:hint="eastAsia" w:ascii="Times New Roman" w:hAnsi="Times New Roman" w:eastAsia="方正仿宋_GBK"/>
          <w:bCs w:val="0"/>
          <w:color w:val="auto"/>
          <w:szCs w:val="32"/>
          <w:highlight w:val="none"/>
          <w:lang w:eastAsia="zh-CN"/>
        </w:rPr>
        <w:t>）</w:t>
      </w:r>
    </w:p>
    <w:p w14:paraId="246AE01C">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78" w:lineRule="exact"/>
        <w:ind w:firstLine="640" w:firstLineChars="200"/>
        <w:textAlignment w:val="auto"/>
        <w:rPr>
          <w:rFonts w:hint="default" w:ascii="Times New Roman" w:hAnsi="Times New Roman" w:eastAsia="方正仿宋_GBK"/>
          <w:bCs w:val="0"/>
          <w:color w:val="auto"/>
          <w:szCs w:val="32"/>
          <w:highlight w:val="none"/>
        </w:rPr>
      </w:pPr>
      <w:r>
        <w:rPr>
          <w:rFonts w:hint="default" w:ascii="方正楷体_GBK" w:hAnsi="方正楷体_GBK" w:cs="方正楷体_GBK"/>
          <w:bCs w:val="0"/>
          <w:color w:val="auto"/>
          <w:szCs w:val="32"/>
          <w:highlight w:val="none"/>
        </w:rPr>
        <w:t>（</w:t>
      </w:r>
      <w:r>
        <w:rPr>
          <w:rFonts w:hint="eastAsia" w:ascii="方正楷体_GBK" w:hAnsi="方正楷体_GBK" w:cs="方正楷体_GBK"/>
          <w:bCs w:val="0"/>
          <w:color w:val="auto"/>
          <w:szCs w:val="32"/>
          <w:highlight w:val="none"/>
          <w:lang w:val="en-US" w:eastAsia="zh-CN"/>
        </w:rPr>
        <w:t>十二</w:t>
      </w:r>
      <w:r>
        <w:rPr>
          <w:rFonts w:hint="default" w:ascii="方正楷体_GBK" w:hAnsi="方正楷体_GBK" w:cs="方正楷体_GBK"/>
          <w:bCs w:val="0"/>
          <w:color w:val="auto"/>
          <w:szCs w:val="32"/>
          <w:highlight w:val="none"/>
        </w:rPr>
        <w:t>）防范新污染物环境风险</w:t>
      </w:r>
      <w:r>
        <w:rPr>
          <w:rFonts w:ascii="方正楷体_GBK" w:hAnsi="方正楷体_GBK" w:cs="方正楷体_GBK"/>
          <w:bCs w:val="0"/>
          <w:color w:val="auto"/>
          <w:szCs w:val="32"/>
          <w:highlight w:val="none"/>
        </w:rPr>
        <w:t>。</w:t>
      </w:r>
      <w:r>
        <w:rPr>
          <w:rFonts w:ascii="Times New Roman" w:hAnsi="Times New Roman" w:eastAsia="方正仿宋_GBK"/>
          <w:bCs w:val="0"/>
          <w:color w:val="auto"/>
          <w:szCs w:val="32"/>
          <w:highlight w:val="none"/>
        </w:rPr>
        <w:t>聚焦医药、新能源等行业，</w:t>
      </w:r>
      <w:r>
        <w:rPr>
          <w:rFonts w:hint="eastAsia" w:ascii="Times New Roman" w:hAnsi="Times New Roman" w:eastAsia="方正仿宋_GBK"/>
          <w:bCs w:val="0"/>
          <w:color w:val="auto"/>
          <w:szCs w:val="32"/>
          <w:highlight w:val="none"/>
          <w:lang w:val="en-US" w:eastAsia="zh-CN"/>
        </w:rPr>
        <w:t>探索</w:t>
      </w:r>
      <w:r>
        <w:rPr>
          <w:rFonts w:ascii="Times New Roman" w:hAnsi="Times New Roman" w:eastAsia="方正仿宋_GBK"/>
          <w:bCs w:val="0"/>
          <w:color w:val="auto"/>
          <w:szCs w:val="32"/>
          <w:highlight w:val="none"/>
        </w:rPr>
        <w:t>开展新污染物筛查</w:t>
      </w:r>
      <w:r>
        <w:rPr>
          <w:rFonts w:hint="eastAsia" w:ascii="Times New Roman" w:hAnsi="Times New Roman" w:eastAsia="方正仿宋_GBK"/>
          <w:bCs w:val="0"/>
          <w:color w:val="auto"/>
          <w:szCs w:val="32"/>
          <w:highlight w:val="none"/>
          <w:lang w:val="en-US" w:eastAsia="zh-CN"/>
        </w:rPr>
        <w:t>与</w:t>
      </w:r>
      <w:r>
        <w:rPr>
          <w:rFonts w:ascii="Times New Roman" w:hAnsi="Times New Roman" w:eastAsia="方正仿宋_GBK"/>
          <w:bCs w:val="0"/>
          <w:color w:val="auto"/>
          <w:szCs w:val="32"/>
          <w:highlight w:val="none"/>
        </w:rPr>
        <w:t>评估</w:t>
      </w:r>
      <w:r>
        <w:rPr>
          <w:rFonts w:hint="eastAsia" w:ascii="Times New Roman" w:hAnsi="Times New Roman" w:eastAsia="方正仿宋_GBK"/>
          <w:bCs w:val="0"/>
          <w:color w:val="auto"/>
          <w:szCs w:val="32"/>
          <w:highlight w:val="none"/>
          <w:lang w:eastAsia="zh-CN"/>
        </w:rPr>
        <w:t>，</w:t>
      </w:r>
      <w:r>
        <w:rPr>
          <w:rFonts w:hint="eastAsia" w:ascii="Times New Roman" w:hAnsi="Times New Roman" w:eastAsia="方正仿宋_GBK"/>
          <w:bCs w:val="0"/>
          <w:color w:val="auto"/>
          <w:szCs w:val="32"/>
          <w:highlight w:val="none"/>
          <w:lang w:val="en-US" w:eastAsia="zh-CN"/>
        </w:rPr>
        <w:t>落实</w:t>
      </w:r>
      <w:r>
        <w:rPr>
          <w:rFonts w:hint="eastAsia" w:ascii="Times New Roman" w:hAnsi="Times New Roman" w:eastAsia="方正仿宋_GBK"/>
          <w:bCs w:val="0"/>
          <w:color w:val="auto"/>
          <w:szCs w:val="32"/>
          <w:highlight w:val="none"/>
          <w:lang w:eastAsia="zh-CN"/>
        </w:rPr>
        <w:t>持久性有机污染物、内分泌干扰物、抗生素、微塑料等协同治理和风险管控</w:t>
      </w:r>
      <w:r>
        <w:rPr>
          <w:rFonts w:hint="eastAsia" w:ascii="Times New Roman" w:hAnsi="Times New Roman" w:eastAsia="方正仿宋_GBK"/>
          <w:bCs w:val="0"/>
          <w:color w:val="auto"/>
          <w:szCs w:val="32"/>
          <w:highlight w:val="none"/>
          <w:lang w:val="en-US" w:eastAsia="zh-CN"/>
        </w:rPr>
        <w:t>要求。以洮南市、洮北区重点管控企业为重点</w:t>
      </w:r>
      <w:r>
        <w:rPr>
          <w:rFonts w:hint="eastAsia" w:ascii="Times New Roman" w:hAnsi="Times New Roman" w:eastAsia="方正仿宋_GBK"/>
          <w:bCs w:val="0"/>
          <w:color w:val="auto"/>
          <w:szCs w:val="32"/>
          <w:highlight w:val="none"/>
          <w:lang w:eastAsia="zh-CN"/>
        </w:rPr>
        <w:t>，</w:t>
      </w:r>
      <w:r>
        <w:rPr>
          <w:rFonts w:hint="eastAsia" w:ascii="Times New Roman" w:hAnsi="Times New Roman" w:eastAsia="方正仿宋_GBK"/>
          <w:bCs w:val="0"/>
          <w:color w:val="auto"/>
          <w:szCs w:val="32"/>
          <w:highlight w:val="none"/>
          <w:lang w:val="en-US" w:eastAsia="zh-CN"/>
        </w:rPr>
        <w:t>适时开展</w:t>
      </w:r>
      <w:r>
        <w:rPr>
          <w:rFonts w:hint="eastAsia" w:ascii="Times New Roman" w:hAnsi="Times New Roman" w:eastAsia="方正仿宋_GBK"/>
          <w:bCs w:val="0"/>
          <w:color w:val="auto"/>
          <w:szCs w:val="32"/>
          <w:highlight w:val="none"/>
          <w:lang w:eastAsia="zh-CN"/>
        </w:rPr>
        <w:t>园区及周边环境等新污染物监测</w:t>
      </w:r>
      <w:r>
        <w:rPr>
          <w:rFonts w:ascii="Times New Roman" w:hAnsi="Times New Roman" w:eastAsia="方正仿宋_GBK"/>
          <w:bCs w:val="0"/>
          <w:color w:val="auto"/>
          <w:szCs w:val="32"/>
          <w:highlight w:val="none"/>
        </w:rPr>
        <w:t>。建立健全白城市化学物质环境信息数据管控体系，对接省级新污染物监测网络。</w:t>
      </w:r>
      <w:r>
        <w:rPr>
          <w:rFonts w:hint="default" w:ascii="Times New Roman" w:hAnsi="Times New Roman" w:eastAsia="方正仿宋_GBK"/>
          <w:bCs w:val="0"/>
          <w:color w:val="auto"/>
          <w:szCs w:val="32"/>
          <w:highlight w:val="none"/>
        </w:rPr>
        <w:t>到2030年，重点管控新污染物环境风险管控率达到</w:t>
      </w:r>
      <w:r>
        <w:rPr>
          <w:rFonts w:hint="eastAsia" w:ascii="Times New Roman" w:hAnsi="Times New Roman" w:eastAsia="方正仿宋_GBK"/>
          <w:bCs w:val="0"/>
          <w:color w:val="auto"/>
          <w:szCs w:val="32"/>
          <w:highlight w:val="none"/>
          <w:lang w:val="en-US" w:eastAsia="zh-CN"/>
        </w:rPr>
        <w:t>85</w:t>
      </w:r>
      <w:r>
        <w:rPr>
          <w:rFonts w:hint="default" w:ascii="Times New Roman" w:hAnsi="Times New Roman" w:eastAsia="方正仿宋_GBK"/>
          <w:bCs w:val="0"/>
          <w:color w:val="auto"/>
          <w:szCs w:val="32"/>
          <w:highlight w:val="none"/>
        </w:rPr>
        <w:t>%。</w:t>
      </w:r>
      <w:r>
        <w:rPr>
          <w:rFonts w:hint="eastAsia" w:ascii="Times New Roman" w:hAnsi="Times New Roman" w:eastAsia="方正仿宋_GBK"/>
          <w:bCs w:val="0"/>
          <w:color w:val="auto"/>
          <w:szCs w:val="32"/>
          <w:highlight w:val="none"/>
          <w:lang w:eastAsia="zh-CN"/>
        </w:rPr>
        <w:t>（</w:t>
      </w:r>
      <w:r>
        <w:rPr>
          <w:rFonts w:hint="eastAsia" w:ascii="Times New Roman" w:hAnsi="Times New Roman" w:eastAsia="方正仿宋_GBK"/>
          <w:bCs w:val="0"/>
          <w:color w:val="auto"/>
          <w:szCs w:val="32"/>
          <w:highlight w:val="none"/>
          <w:lang w:val="en-US" w:eastAsia="zh-CN"/>
        </w:rPr>
        <w:t>市生态环境局、市农业农村局、市市场监管局、市卫生健康委、市畜牧局、市药监局</w:t>
      </w:r>
      <w:r>
        <w:rPr>
          <w:rFonts w:hint="eastAsia" w:ascii="Times New Roman" w:hAnsi="Times New Roman" w:eastAsia="方正仿宋_GBK"/>
          <w:bCs w:val="0"/>
          <w:color w:val="auto"/>
          <w:szCs w:val="32"/>
          <w:highlight w:val="none"/>
        </w:rPr>
        <w:t>等部门按职责分工负责</w:t>
      </w:r>
      <w:r>
        <w:rPr>
          <w:rFonts w:hint="eastAsia" w:ascii="Times New Roman" w:hAnsi="Times New Roman" w:eastAsia="方正仿宋_GBK"/>
          <w:bCs w:val="0"/>
          <w:color w:val="auto"/>
          <w:szCs w:val="32"/>
          <w:highlight w:val="none"/>
          <w:lang w:eastAsia="zh-CN"/>
        </w:rPr>
        <w:t>）</w:t>
      </w:r>
    </w:p>
    <w:p w14:paraId="4F2035B9">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78" w:lineRule="exact"/>
        <w:ind w:firstLine="640" w:firstLineChars="200"/>
        <w:textAlignment w:val="auto"/>
        <w:rPr>
          <w:rFonts w:hint="eastAsia" w:ascii="Times New Roman" w:hAnsi="Times New Roman" w:eastAsia="方正仿宋_GBK"/>
          <w:bCs w:val="0"/>
          <w:color w:val="auto"/>
          <w:szCs w:val="32"/>
          <w:highlight w:val="none"/>
          <w:lang w:eastAsia="zh-CN"/>
        </w:rPr>
      </w:pPr>
      <w:r>
        <w:rPr>
          <w:rFonts w:hint="default" w:ascii="方正楷体_GBK" w:hAnsi="方正楷体_GBK" w:cs="方正楷体_GBK"/>
          <w:bCs w:val="0"/>
          <w:color w:val="auto"/>
          <w:szCs w:val="32"/>
          <w:highlight w:val="none"/>
        </w:rPr>
        <w:t>（十</w:t>
      </w:r>
      <w:r>
        <w:rPr>
          <w:rFonts w:hint="eastAsia" w:ascii="方正楷体_GBK" w:hAnsi="方正楷体_GBK" w:cs="方正楷体_GBK"/>
          <w:bCs w:val="0"/>
          <w:color w:val="auto"/>
          <w:szCs w:val="32"/>
          <w:highlight w:val="none"/>
          <w:lang w:val="en-US" w:eastAsia="zh-CN"/>
        </w:rPr>
        <w:t>三</w:t>
      </w:r>
      <w:r>
        <w:rPr>
          <w:rFonts w:hint="default" w:ascii="方正楷体_GBK" w:hAnsi="方正楷体_GBK" w:cs="方正楷体_GBK"/>
          <w:bCs w:val="0"/>
          <w:color w:val="auto"/>
          <w:szCs w:val="32"/>
          <w:highlight w:val="none"/>
        </w:rPr>
        <w:t>）创建宁静宜居城市</w:t>
      </w:r>
      <w:r>
        <w:rPr>
          <w:rFonts w:ascii="方正楷体_GBK" w:hAnsi="方正楷体_GBK" w:cs="方正楷体_GBK"/>
          <w:bCs w:val="0"/>
          <w:color w:val="auto"/>
          <w:szCs w:val="32"/>
          <w:highlight w:val="none"/>
        </w:rPr>
        <w:t>。</w:t>
      </w:r>
      <w:r>
        <w:rPr>
          <w:rFonts w:hint="eastAsia" w:ascii="Times New Roman" w:hAnsi="Times New Roman" w:eastAsia="方正仿宋_GBK"/>
          <w:bCs w:val="0"/>
          <w:color w:val="auto"/>
          <w:szCs w:val="32"/>
          <w:highlight w:val="none"/>
          <w:lang w:eastAsia="zh-CN"/>
        </w:rPr>
        <w:t>持续加强噪声动态监管</w:t>
      </w:r>
      <w:r>
        <w:rPr>
          <w:rFonts w:hint="default" w:ascii="Times New Roman" w:hAnsi="Times New Roman" w:eastAsia="方正仿宋_GBK"/>
          <w:bCs w:val="0"/>
          <w:color w:val="auto"/>
          <w:szCs w:val="32"/>
          <w:highlight w:val="none"/>
        </w:rPr>
        <w:t>。加快推进声环境质量信息发布平台建设，推动有条件的县（市、区）布设城市功能区噪声自动站。强化工业生产、道路交通、建筑施工、商业经营等重点领域、重点时段噪声污染管控，强化工业噪声排污许可管理，完善常态化联合执法机制。持续开展噪声投诉典型案件督办工作，</w:t>
      </w:r>
      <w:r>
        <w:rPr>
          <w:rFonts w:hint="default" w:ascii="Times New Roman" w:hAnsi="Times New Roman" w:eastAsia="方正仿宋_GBK"/>
          <w:bCs w:val="0"/>
          <w:color w:val="auto"/>
          <w:szCs w:val="32"/>
          <w:highlight w:val="none"/>
          <w:lang w:eastAsia="zh-CN"/>
        </w:rPr>
        <w:t>推进</w:t>
      </w:r>
      <w:r>
        <w:rPr>
          <w:rFonts w:hint="default" w:ascii="Times New Roman" w:hAnsi="Times New Roman" w:eastAsia="方正仿宋_GBK"/>
          <w:bCs w:val="0"/>
          <w:color w:val="auto"/>
          <w:szCs w:val="32"/>
          <w:highlight w:val="none"/>
        </w:rPr>
        <w:t>建设宁静小区。</w:t>
      </w:r>
      <w:r>
        <w:rPr>
          <w:rFonts w:hint="eastAsia" w:ascii="Times New Roman" w:hAnsi="Times New Roman" w:eastAsia="方正仿宋_GBK"/>
          <w:bCs w:val="0"/>
          <w:color w:val="auto"/>
          <w:szCs w:val="32"/>
          <w:highlight w:val="none"/>
          <w:lang w:eastAsia="zh-CN"/>
        </w:rPr>
        <w:t>（</w:t>
      </w:r>
      <w:r>
        <w:rPr>
          <w:rFonts w:hint="eastAsia" w:ascii="Times New Roman" w:hAnsi="Times New Roman" w:eastAsia="方正仿宋_GBK"/>
          <w:bCs w:val="0"/>
          <w:color w:val="auto"/>
          <w:szCs w:val="32"/>
          <w:highlight w:val="none"/>
          <w:lang w:val="en-US" w:eastAsia="zh-CN"/>
        </w:rPr>
        <w:t>市公安局、市生态环境局、市住建局、市交通局、市场监管局</w:t>
      </w:r>
      <w:r>
        <w:rPr>
          <w:rFonts w:hint="eastAsia" w:ascii="Times New Roman" w:hAnsi="Times New Roman" w:eastAsia="方正仿宋_GBK"/>
          <w:bCs w:val="0"/>
          <w:color w:val="auto"/>
          <w:szCs w:val="32"/>
          <w:highlight w:val="none"/>
        </w:rPr>
        <w:t>等部门按职责分工负责</w:t>
      </w:r>
      <w:r>
        <w:rPr>
          <w:rFonts w:hint="eastAsia" w:ascii="Times New Roman" w:hAnsi="Times New Roman" w:eastAsia="方正仿宋_GBK"/>
          <w:bCs w:val="0"/>
          <w:color w:val="auto"/>
          <w:szCs w:val="32"/>
          <w:highlight w:val="none"/>
          <w:lang w:eastAsia="zh-CN"/>
        </w:rPr>
        <w:t>）</w:t>
      </w:r>
    </w:p>
    <w:p w14:paraId="49B6C438">
      <w:pPr>
        <w:pStyle w:val="3"/>
        <w:keepNext w:val="0"/>
        <w:keepLines w:val="0"/>
        <w:pageBreakBefore w:val="0"/>
        <w:widowControl w:val="0"/>
        <w:kinsoku/>
        <w:wordWrap/>
        <w:overflowPunct/>
        <w:topLinePunct w:val="0"/>
        <w:autoSpaceDE/>
        <w:autoSpaceDN/>
        <w:bidi w:val="0"/>
        <w:adjustRightInd/>
        <w:snapToGrid/>
        <w:spacing w:before="0" w:after="0" w:line="578" w:lineRule="exact"/>
        <w:ind w:firstLine="640" w:firstLineChars="200"/>
        <w:jc w:val="left"/>
        <w:textAlignment w:val="auto"/>
        <w:rPr>
          <w:rFonts w:ascii="方正黑体_GBK" w:hAnsi="方正黑体_GBK" w:eastAsia="方正黑体_GBK" w:cs="方正黑体_GBK"/>
          <w:bCs w:val="0"/>
          <w:color w:val="auto"/>
          <w:highlight w:val="none"/>
        </w:rPr>
      </w:pPr>
      <w:bookmarkStart w:id="11" w:name="_Toc20590"/>
      <w:bookmarkStart w:id="12" w:name="_Toc18725"/>
      <w:r>
        <w:rPr>
          <w:rFonts w:ascii="方正黑体_GBK" w:hAnsi="方正黑体_GBK" w:eastAsia="方正黑体_GBK" w:cs="方正黑体_GBK"/>
          <w:bCs w:val="0"/>
          <w:color w:val="auto"/>
          <w:highlight w:val="none"/>
        </w:rPr>
        <w:t>四、</w:t>
      </w:r>
      <w:bookmarkEnd w:id="11"/>
      <w:r>
        <w:rPr>
          <w:rFonts w:ascii="方正黑体_GBK" w:hAnsi="方正黑体_GBK" w:eastAsia="方正黑体_GBK" w:cs="方正黑体_GBK"/>
          <w:bCs w:val="0"/>
          <w:color w:val="auto"/>
          <w:highlight w:val="none"/>
        </w:rPr>
        <w:t>增强生态系统功能取得新进展</w:t>
      </w:r>
      <w:bookmarkEnd w:id="12"/>
    </w:p>
    <w:p w14:paraId="6AA40D25">
      <w:pPr>
        <w:pStyle w:val="6"/>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eastAsia="方正仿宋_GBK"/>
          <w:color w:val="auto"/>
          <w:sz w:val="32"/>
          <w:szCs w:val="32"/>
          <w:highlight w:val="none"/>
          <w:lang w:eastAsia="zh-CN"/>
        </w:rPr>
      </w:pPr>
      <w:r>
        <w:rPr>
          <w:rFonts w:hint="eastAsia" w:ascii="方正楷体_GBK" w:hAnsi="方正楷体_GBK" w:eastAsia="方正楷体_GBK" w:cs="方正楷体_GBK"/>
          <w:color w:val="auto"/>
          <w:sz w:val="32"/>
          <w:szCs w:val="32"/>
          <w:highlight w:val="none"/>
        </w:rPr>
        <w:t>（十</w:t>
      </w:r>
      <w:r>
        <w:rPr>
          <w:rFonts w:hint="eastAsia" w:ascii="方正楷体_GBK" w:hAnsi="方正楷体_GBK" w:eastAsia="方正楷体_GBK" w:cs="方正楷体_GBK"/>
          <w:color w:val="auto"/>
          <w:sz w:val="32"/>
          <w:szCs w:val="32"/>
          <w:highlight w:val="none"/>
          <w:lang w:val="en-US" w:eastAsia="zh-CN"/>
        </w:rPr>
        <w:t>四</w:t>
      </w:r>
      <w:r>
        <w:rPr>
          <w:rFonts w:hint="eastAsia" w:ascii="方正楷体_GBK" w:hAnsi="方正楷体_GBK" w:eastAsia="方正楷体_GBK" w:cs="方正楷体_GBK"/>
          <w:color w:val="auto"/>
          <w:sz w:val="32"/>
          <w:szCs w:val="32"/>
          <w:highlight w:val="none"/>
        </w:rPr>
        <w:t>）构筑西部生态安全屏障。</w:t>
      </w:r>
      <w:r>
        <w:rPr>
          <w:rFonts w:hint="eastAsia" w:ascii="Times New Roman" w:hAnsi="Times New Roman" w:eastAsia="方正仿宋_GBK" w:cs="Times New Roman"/>
          <w:bCs w:val="0"/>
          <w:snapToGrid w:val="0"/>
          <w:color w:val="auto"/>
          <w:sz w:val="32"/>
          <w:szCs w:val="32"/>
          <w:highlight w:val="none"/>
          <w:lang w:val="en-US" w:eastAsia="zh-CN" w:bidi="ar-SA"/>
        </w:rPr>
        <w:t>坚持山水林田湖草沙一体化保护和系统治理，深度融入国家“三区四带”生态安全格局</w:t>
      </w:r>
      <w:r>
        <w:rPr>
          <w:rFonts w:hint="eastAsia" w:eastAsia="方正仿宋_GBK" w:cs="Times New Roman"/>
          <w:bCs w:val="0"/>
          <w:snapToGrid w:val="0"/>
          <w:color w:val="auto"/>
          <w:sz w:val="32"/>
          <w:szCs w:val="32"/>
          <w:highlight w:val="none"/>
          <w:lang w:val="en-US" w:eastAsia="zh-CN" w:bidi="ar-SA"/>
        </w:rPr>
        <w:t>。</w:t>
      </w:r>
      <w:r>
        <w:rPr>
          <w:rFonts w:hint="eastAsia" w:eastAsia="方正仿宋_GBK"/>
          <w:color w:val="auto"/>
          <w:sz w:val="32"/>
          <w:szCs w:val="32"/>
          <w:highlight w:val="none"/>
        </w:rPr>
        <w:t>以“三北”工程六期建设为载体，加快提升荒漠化综合防治能力和水平。加快退化林修复5.2万亩、</w:t>
      </w:r>
      <w:r>
        <w:rPr>
          <w:rFonts w:hint="eastAsia" w:eastAsia="方正仿宋_GBK"/>
          <w:strike w:val="0"/>
          <w:dstrike w:val="0"/>
          <w:color w:val="auto"/>
          <w:sz w:val="32"/>
          <w:szCs w:val="32"/>
          <w:highlight w:val="none"/>
          <w:u w:val="none"/>
        </w:rPr>
        <w:t>森林抚育3.6万亩、退化草原修复治理3.5万亩</w:t>
      </w:r>
      <w:r>
        <w:rPr>
          <w:rFonts w:hint="eastAsia" w:eastAsia="方正仿宋_GBK"/>
          <w:color w:val="auto"/>
          <w:sz w:val="32"/>
          <w:szCs w:val="32"/>
          <w:highlight w:val="none"/>
        </w:rPr>
        <w:t>。对231株古树和3处蒙古黄榆群落实行挂牌保护。以向海、莫莫格两大国际重要湿地为核心，推进退耕还湿和生态补水工程，加大丹顶鹤、白鹤、东方白鹳等珍稀鸟类及核心栖息地保护力度</w:t>
      </w:r>
      <w:r>
        <w:rPr>
          <w:rFonts w:eastAsia="方正仿宋_GBK"/>
          <w:color w:val="auto"/>
          <w:sz w:val="32"/>
          <w:szCs w:val="32"/>
          <w:highlight w:val="none"/>
        </w:rPr>
        <w:t>。到2030年，森林覆盖率达到10.28%，生态系统基本实现良性循环。</w:t>
      </w:r>
      <w:r>
        <w:rPr>
          <w:rFonts w:hint="eastAsia" w:ascii="Times New Roman" w:hAnsi="Times New Roman" w:eastAsia="方正仿宋_GBK"/>
          <w:bCs w:val="0"/>
          <w:color w:val="auto"/>
          <w:szCs w:val="32"/>
          <w:highlight w:val="none"/>
          <w:lang w:eastAsia="zh-CN"/>
        </w:rPr>
        <w:t>（</w:t>
      </w:r>
      <w:r>
        <w:rPr>
          <w:rFonts w:hint="eastAsia" w:ascii="Times New Roman" w:hAnsi="Times New Roman" w:eastAsia="方正仿宋_GBK"/>
          <w:bCs w:val="0"/>
          <w:color w:val="auto"/>
          <w:szCs w:val="32"/>
          <w:highlight w:val="none"/>
          <w:lang w:val="en-US" w:eastAsia="zh-CN"/>
        </w:rPr>
        <w:t>市公安局、</w:t>
      </w:r>
      <w:r>
        <w:rPr>
          <w:rFonts w:hint="eastAsia" w:eastAsia="方正仿宋_GBK"/>
          <w:bCs w:val="0"/>
          <w:color w:val="auto"/>
          <w:szCs w:val="32"/>
          <w:highlight w:val="none"/>
          <w:lang w:val="en-US" w:eastAsia="zh-CN"/>
        </w:rPr>
        <w:t>市自然资源局、</w:t>
      </w:r>
      <w:r>
        <w:rPr>
          <w:rFonts w:hint="eastAsia" w:ascii="Times New Roman" w:hAnsi="Times New Roman" w:eastAsia="方正仿宋_GBK"/>
          <w:bCs w:val="0"/>
          <w:color w:val="auto"/>
          <w:szCs w:val="32"/>
          <w:highlight w:val="none"/>
          <w:lang w:val="en-US" w:eastAsia="zh-CN"/>
        </w:rPr>
        <w:t>市生态环境局、市</w:t>
      </w:r>
      <w:r>
        <w:rPr>
          <w:rFonts w:hint="eastAsia" w:eastAsia="方正仿宋_GBK"/>
          <w:bCs w:val="0"/>
          <w:color w:val="auto"/>
          <w:szCs w:val="32"/>
          <w:highlight w:val="none"/>
          <w:lang w:val="en-US" w:eastAsia="zh-CN"/>
        </w:rPr>
        <w:t>水利</w:t>
      </w:r>
      <w:r>
        <w:rPr>
          <w:rFonts w:hint="eastAsia" w:ascii="Times New Roman" w:hAnsi="Times New Roman" w:eastAsia="方正仿宋_GBK"/>
          <w:bCs w:val="0"/>
          <w:color w:val="auto"/>
          <w:szCs w:val="32"/>
          <w:highlight w:val="none"/>
          <w:lang w:val="en-US" w:eastAsia="zh-CN"/>
        </w:rPr>
        <w:t>局、市</w:t>
      </w:r>
      <w:r>
        <w:rPr>
          <w:rFonts w:hint="eastAsia" w:eastAsia="方正仿宋_GBK"/>
          <w:bCs w:val="0"/>
          <w:color w:val="auto"/>
          <w:szCs w:val="32"/>
          <w:highlight w:val="none"/>
          <w:lang w:val="en-US" w:eastAsia="zh-CN"/>
        </w:rPr>
        <w:t>林草</w:t>
      </w:r>
      <w:r>
        <w:rPr>
          <w:rFonts w:hint="eastAsia" w:ascii="Times New Roman" w:hAnsi="Times New Roman" w:eastAsia="方正仿宋_GBK"/>
          <w:bCs w:val="0"/>
          <w:color w:val="auto"/>
          <w:szCs w:val="32"/>
          <w:highlight w:val="none"/>
          <w:lang w:val="en-US" w:eastAsia="zh-CN"/>
        </w:rPr>
        <w:t>局</w:t>
      </w:r>
      <w:r>
        <w:rPr>
          <w:rFonts w:hint="eastAsia" w:ascii="Times New Roman" w:hAnsi="Times New Roman" w:eastAsia="方正仿宋_GBK"/>
          <w:bCs w:val="0"/>
          <w:color w:val="auto"/>
          <w:szCs w:val="32"/>
          <w:highlight w:val="none"/>
        </w:rPr>
        <w:t>等部门按职责分工负责</w:t>
      </w:r>
      <w:r>
        <w:rPr>
          <w:rFonts w:hint="eastAsia" w:ascii="Times New Roman" w:hAnsi="Times New Roman" w:eastAsia="方正仿宋_GBK"/>
          <w:bCs w:val="0"/>
          <w:color w:val="auto"/>
          <w:szCs w:val="32"/>
          <w:highlight w:val="none"/>
          <w:lang w:eastAsia="zh-CN"/>
        </w:rPr>
        <w:t>）</w:t>
      </w:r>
    </w:p>
    <w:p w14:paraId="3C2798D3">
      <w:pPr>
        <w:pStyle w:val="6"/>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方正仿宋_GBK"/>
          <w:bCs w:val="0"/>
          <w:color w:val="auto"/>
          <w:szCs w:val="32"/>
          <w:highlight w:val="none"/>
          <w:lang w:eastAsia="zh-CN"/>
        </w:rPr>
      </w:pPr>
      <w:r>
        <w:rPr>
          <w:rFonts w:hint="default" w:ascii="方正楷体_GBK" w:hAnsi="方正楷体_GBK" w:eastAsia="方正楷体_GBK" w:cs="方正楷体_GBK"/>
          <w:color w:val="auto"/>
          <w:sz w:val="32"/>
          <w:szCs w:val="32"/>
          <w:highlight w:val="none"/>
        </w:rPr>
        <w:t>（十</w:t>
      </w:r>
      <w:r>
        <w:rPr>
          <w:rFonts w:hint="eastAsia" w:ascii="方正楷体_GBK" w:hAnsi="方正楷体_GBK" w:eastAsia="方正楷体_GBK" w:cs="方正楷体_GBK"/>
          <w:color w:val="auto"/>
          <w:sz w:val="32"/>
          <w:szCs w:val="32"/>
          <w:highlight w:val="none"/>
          <w:lang w:val="en-US" w:eastAsia="zh-CN"/>
        </w:rPr>
        <w:t>五</w:t>
      </w:r>
      <w:r>
        <w:rPr>
          <w:rFonts w:hint="default" w:ascii="方正楷体_GBK" w:hAnsi="方正楷体_GBK" w:eastAsia="方正楷体_GBK" w:cs="方正楷体_GBK"/>
          <w:color w:val="auto"/>
          <w:sz w:val="32"/>
          <w:szCs w:val="32"/>
          <w:highlight w:val="none"/>
        </w:rPr>
        <w:t>）夯实生物多样性保护管护基础</w:t>
      </w:r>
      <w:r>
        <w:rPr>
          <w:rFonts w:hint="eastAsia" w:ascii="方正楷体_GBK" w:hAnsi="方正楷体_GBK" w:eastAsia="方正楷体_GBK" w:cs="方正楷体_GBK"/>
          <w:color w:val="auto"/>
          <w:sz w:val="32"/>
          <w:szCs w:val="32"/>
          <w:highlight w:val="none"/>
        </w:rPr>
        <w:t>。</w:t>
      </w:r>
      <w:r>
        <w:rPr>
          <w:rFonts w:ascii="Times New Roman" w:hAnsi="Times New Roman" w:eastAsia="方正仿宋_GBK"/>
          <w:bCs w:val="0"/>
          <w:color w:val="auto"/>
          <w:szCs w:val="32"/>
          <w:highlight w:val="none"/>
        </w:rPr>
        <w:t>配合开展向海、莫莫格等生物多样性保护优先区本底调查和重点区域生物多样性现状与保护成效评估。推动丹顶鹤、白鹤、东方白鹳迁徙通道候鸟栖息地巡查、隐患排查机制，</w:t>
      </w:r>
      <w:r>
        <w:rPr>
          <w:rFonts w:hint="eastAsia" w:ascii="Times New Roman" w:hAnsi="Times New Roman" w:eastAsia="方正仿宋_GBK"/>
          <w:bCs w:val="0"/>
          <w:color w:val="auto"/>
          <w:szCs w:val="32"/>
          <w:highlight w:val="none"/>
        </w:rPr>
        <w:t>有序推进松嫩鹤乡国家公园创建</w:t>
      </w:r>
      <w:r>
        <w:rPr>
          <w:rFonts w:ascii="Times New Roman" w:hAnsi="Times New Roman" w:eastAsia="方正仿宋_GBK"/>
          <w:bCs w:val="0"/>
          <w:color w:val="auto"/>
          <w:szCs w:val="32"/>
          <w:highlight w:val="none"/>
        </w:rPr>
        <w:t>，打造白城“鹤乡”国际生态名片，建立白城生态系统生产总值（GEP）核算体系。</w:t>
      </w:r>
      <w:r>
        <w:rPr>
          <w:rFonts w:hint="eastAsia" w:ascii="Times New Roman" w:hAnsi="Times New Roman" w:eastAsia="方正仿宋_GBK"/>
          <w:bCs w:val="0"/>
          <w:color w:val="auto"/>
          <w:szCs w:val="32"/>
          <w:highlight w:val="none"/>
          <w:lang w:eastAsia="zh-CN"/>
        </w:rPr>
        <w:t>（</w:t>
      </w:r>
      <w:r>
        <w:rPr>
          <w:rFonts w:hint="eastAsia" w:ascii="Times New Roman" w:hAnsi="Times New Roman" w:eastAsia="方正仿宋_GBK"/>
          <w:bCs w:val="0"/>
          <w:color w:val="auto"/>
          <w:szCs w:val="32"/>
          <w:highlight w:val="none"/>
          <w:lang w:val="en-US" w:eastAsia="zh-CN"/>
        </w:rPr>
        <w:t>市公安局、市生态环境局、市</w:t>
      </w:r>
      <w:r>
        <w:rPr>
          <w:rFonts w:hint="eastAsia" w:eastAsia="方正仿宋_GBK"/>
          <w:bCs w:val="0"/>
          <w:color w:val="auto"/>
          <w:szCs w:val="32"/>
          <w:highlight w:val="none"/>
          <w:lang w:val="en-US" w:eastAsia="zh-CN"/>
        </w:rPr>
        <w:t>工业农村</w:t>
      </w:r>
      <w:r>
        <w:rPr>
          <w:rFonts w:hint="eastAsia" w:ascii="Times New Roman" w:hAnsi="Times New Roman" w:eastAsia="方正仿宋_GBK"/>
          <w:bCs w:val="0"/>
          <w:color w:val="auto"/>
          <w:szCs w:val="32"/>
          <w:highlight w:val="none"/>
          <w:lang w:val="en-US" w:eastAsia="zh-CN"/>
        </w:rPr>
        <w:t>局、市</w:t>
      </w:r>
      <w:r>
        <w:rPr>
          <w:rFonts w:hint="eastAsia" w:eastAsia="方正仿宋_GBK"/>
          <w:bCs w:val="0"/>
          <w:color w:val="auto"/>
          <w:szCs w:val="32"/>
          <w:highlight w:val="none"/>
          <w:lang w:val="en-US" w:eastAsia="zh-CN"/>
        </w:rPr>
        <w:t>林草</w:t>
      </w:r>
      <w:r>
        <w:rPr>
          <w:rFonts w:hint="eastAsia" w:ascii="Times New Roman" w:hAnsi="Times New Roman" w:eastAsia="方正仿宋_GBK"/>
          <w:bCs w:val="0"/>
          <w:color w:val="auto"/>
          <w:szCs w:val="32"/>
          <w:highlight w:val="none"/>
          <w:lang w:val="en-US" w:eastAsia="zh-CN"/>
        </w:rPr>
        <w:t>局</w:t>
      </w:r>
      <w:r>
        <w:rPr>
          <w:rFonts w:hint="eastAsia" w:ascii="Times New Roman" w:hAnsi="Times New Roman" w:eastAsia="方正仿宋_GBK"/>
          <w:bCs w:val="0"/>
          <w:color w:val="auto"/>
          <w:szCs w:val="32"/>
          <w:highlight w:val="none"/>
        </w:rPr>
        <w:t>等部门按职责分工负责</w:t>
      </w:r>
      <w:r>
        <w:rPr>
          <w:rFonts w:hint="eastAsia" w:ascii="Times New Roman" w:hAnsi="Times New Roman" w:eastAsia="方正仿宋_GBK"/>
          <w:bCs w:val="0"/>
          <w:color w:val="auto"/>
          <w:szCs w:val="32"/>
          <w:highlight w:val="none"/>
          <w:lang w:eastAsia="zh-CN"/>
        </w:rPr>
        <w:t>）</w:t>
      </w:r>
    </w:p>
    <w:p w14:paraId="0C744CC0">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78" w:lineRule="exact"/>
        <w:ind w:firstLine="640" w:firstLineChars="200"/>
        <w:textAlignment w:val="auto"/>
        <w:rPr>
          <w:rFonts w:hint="default" w:ascii="Times New Roman" w:hAnsi="Times New Roman" w:eastAsia="方正仿宋_GBK"/>
          <w:bCs w:val="0"/>
          <w:color w:val="auto"/>
          <w:szCs w:val="32"/>
          <w:highlight w:val="none"/>
        </w:rPr>
      </w:pPr>
      <w:r>
        <w:rPr>
          <w:rFonts w:hint="default" w:ascii="方正楷体_GBK" w:hAnsi="方正楷体_GBK" w:cs="方正楷体_GBK"/>
          <w:bCs w:val="0"/>
          <w:color w:val="auto"/>
          <w:szCs w:val="32"/>
          <w:highlight w:val="none"/>
        </w:rPr>
        <w:t>（十</w:t>
      </w:r>
      <w:r>
        <w:rPr>
          <w:rFonts w:hint="eastAsia" w:ascii="方正楷体_GBK" w:hAnsi="方正楷体_GBK" w:cs="方正楷体_GBK"/>
          <w:bCs w:val="0"/>
          <w:color w:val="auto"/>
          <w:szCs w:val="32"/>
          <w:highlight w:val="none"/>
          <w:lang w:val="en-US" w:eastAsia="zh-CN"/>
        </w:rPr>
        <w:t>六</w:t>
      </w:r>
      <w:r>
        <w:rPr>
          <w:rFonts w:hint="default" w:ascii="方正楷体_GBK" w:hAnsi="方正楷体_GBK" w:cs="方正楷体_GBK"/>
          <w:bCs w:val="0"/>
          <w:color w:val="auto"/>
          <w:szCs w:val="32"/>
          <w:highlight w:val="none"/>
        </w:rPr>
        <w:t>）完善生态保护修复监管运行机制</w:t>
      </w:r>
      <w:r>
        <w:rPr>
          <w:rFonts w:ascii="方正楷体_GBK" w:hAnsi="方正楷体_GBK" w:cs="方正楷体_GBK"/>
          <w:bCs w:val="0"/>
          <w:color w:val="auto"/>
          <w:szCs w:val="32"/>
          <w:highlight w:val="none"/>
        </w:rPr>
        <w:t>。</w:t>
      </w:r>
      <w:r>
        <w:rPr>
          <w:rFonts w:hint="default" w:ascii="Times New Roman" w:hAnsi="Times New Roman" w:eastAsia="方正仿宋_GBK"/>
          <w:bCs w:val="0"/>
          <w:color w:val="auto"/>
          <w:szCs w:val="32"/>
          <w:highlight w:val="none"/>
        </w:rPr>
        <w:t>强化自然保护地和生态保护红线监管，严格落实生态保护红线管理制度。加强生态保护修复监管，持续开展生态保护红线、自然保护区生态保护修复成效评估。持续推进“绿盾”重要生态空间强化监督检查，开展全市生态状况调查评估。深入开展毁林毁湿毁草等非法侵占破坏生态环境问题排查整治。加强重大生态破坏事件整改监督。</w:t>
      </w:r>
    </w:p>
    <w:p w14:paraId="4492EAB4">
      <w:pPr>
        <w:pStyle w:val="3"/>
        <w:keepNext w:val="0"/>
        <w:keepLines w:val="0"/>
        <w:pageBreakBefore w:val="0"/>
        <w:widowControl w:val="0"/>
        <w:kinsoku/>
        <w:wordWrap/>
        <w:overflowPunct/>
        <w:topLinePunct w:val="0"/>
        <w:autoSpaceDE/>
        <w:autoSpaceDN/>
        <w:bidi w:val="0"/>
        <w:adjustRightInd/>
        <w:snapToGrid/>
        <w:spacing w:before="0" w:after="0" w:line="578" w:lineRule="exact"/>
        <w:ind w:firstLine="640" w:firstLineChars="200"/>
        <w:jc w:val="left"/>
        <w:textAlignment w:val="auto"/>
        <w:rPr>
          <w:rFonts w:ascii="方正黑体_GBK" w:hAnsi="方正黑体_GBK" w:eastAsia="方正黑体_GBK" w:cs="方正黑体_GBK"/>
          <w:bCs w:val="0"/>
          <w:color w:val="auto"/>
          <w:highlight w:val="none"/>
        </w:rPr>
      </w:pPr>
      <w:bookmarkStart w:id="13" w:name="_Toc29112"/>
      <w:bookmarkStart w:id="14" w:name="_Toc8103"/>
      <w:r>
        <w:rPr>
          <w:rFonts w:ascii="方正黑体_GBK" w:hAnsi="方正黑体_GBK" w:eastAsia="方正黑体_GBK" w:cs="方正黑体_GBK"/>
          <w:bCs w:val="0"/>
          <w:color w:val="auto"/>
          <w:highlight w:val="none"/>
        </w:rPr>
        <w:t>五、</w:t>
      </w:r>
      <w:bookmarkEnd w:id="13"/>
      <w:r>
        <w:rPr>
          <w:rFonts w:ascii="方正黑体_GBK" w:hAnsi="方正黑体_GBK" w:eastAsia="方正黑体_GBK" w:cs="方正黑体_GBK"/>
          <w:bCs w:val="0"/>
          <w:color w:val="auto"/>
          <w:highlight w:val="none"/>
        </w:rPr>
        <w:t>擦亮</w:t>
      </w:r>
      <w:r>
        <w:rPr>
          <w:rFonts w:hint="eastAsia" w:ascii="方正黑体_GBK" w:hAnsi="方正黑体_GBK" w:eastAsia="方正黑体_GBK" w:cs="方正黑体_GBK"/>
          <w:bCs w:val="0"/>
          <w:color w:val="auto"/>
          <w:highlight w:val="none"/>
        </w:rPr>
        <w:t>“</w:t>
      </w:r>
      <w:r>
        <w:rPr>
          <w:rFonts w:ascii="方正黑体_GBK" w:hAnsi="方正黑体_GBK" w:eastAsia="方正黑体_GBK" w:cs="方正黑体_GBK"/>
          <w:bCs w:val="0"/>
          <w:color w:val="auto"/>
          <w:highlight w:val="none"/>
        </w:rPr>
        <w:t>吉美</w:t>
      </w:r>
      <w:r>
        <w:rPr>
          <w:rFonts w:hint="eastAsia" w:ascii="方正黑体_GBK" w:hAnsi="方正黑体_GBK" w:eastAsia="方正黑体_GBK" w:cs="方正黑体_GBK"/>
          <w:bCs w:val="0"/>
          <w:color w:val="auto"/>
          <w:highlight w:val="none"/>
        </w:rPr>
        <w:t>”</w:t>
      </w:r>
      <w:r>
        <w:rPr>
          <w:rFonts w:ascii="方正黑体_GBK" w:hAnsi="方正黑体_GBK" w:eastAsia="方正黑体_GBK" w:cs="方正黑体_GBK"/>
          <w:bCs w:val="0"/>
          <w:color w:val="auto"/>
          <w:highlight w:val="none"/>
        </w:rPr>
        <w:t>城市名片，绘就美丽白城新画卷</w:t>
      </w:r>
      <w:bookmarkEnd w:id="14"/>
    </w:p>
    <w:p w14:paraId="3D70711E">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78" w:lineRule="exact"/>
        <w:ind w:firstLine="640" w:firstLineChars="200"/>
        <w:textAlignment w:val="auto"/>
        <w:rPr>
          <w:rFonts w:hint="eastAsia" w:ascii="Times New Roman" w:hAnsi="Times New Roman" w:eastAsia="方正仿宋_GBK"/>
          <w:bCs w:val="0"/>
          <w:color w:val="auto"/>
          <w:szCs w:val="32"/>
          <w:highlight w:val="none"/>
          <w:lang w:eastAsia="zh-CN"/>
        </w:rPr>
      </w:pPr>
      <w:r>
        <w:rPr>
          <w:rFonts w:ascii="方正楷体_GBK" w:hAnsi="方正楷体_GBK" w:cs="方正楷体_GBK"/>
          <w:bCs w:val="0"/>
          <w:color w:val="auto"/>
          <w:szCs w:val="32"/>
          <w:highlight w:val="none"/>
        </w:rPr>
        <w:t>（十</w:t>
      </w:r>
      <w:r>
        <w:rPr>
          <w:rFonts w:hint="eastAsia" w:ascii="方正楷体_GBK" w:hAnsi="方正楷体_GBK" w:cs="方正楷体_GBK"/>
          <w:bCs w:val="0"/>
          <w:color w:val="auto"/>
          <w:szCs w:val="32"/>
          <w:highlight w:val="none"/>
          <w:lang w:val="en-US" w:eastAsia="zh-CN"/>
        </w:rPr>
        <w:t>七</w:t>
      </w:r>
      <w:r>
        <w:rPr>
          <w:rFonts w:ascii="方正楷体_GBK" w:hAnsi="方正楷体_GBK" w:cs="方正楷体_GBK"/>
          <w:bCs w:val="0"/>
          <w:color w:val="auto"/>
          <w:szCs w:val="32"/>
          <w:highlight w:val="none"/>
        </w:rPr>
        <w:t>）高标准打造西部低碳宜居城市样板。</w:t>
      </w:r>
      <w:r>
        <w:rPr>
          <w:rFonts w:hint="default" w:ascii="Times New Roman" w:hAnsi="Times New Roman" w:eastAsia="方正仿宋_GBK"/>
          <w:bCs w:val="0"/>
          <w:color w:val="auto"/>
          <w:szCs w:val="32"/>
          <w:highlight w:val="none"/>
        </w:rPr>
        <w:t>以美丽中国城市建设为引领，</w:t>
      </w:r>
      <w:r>
        <w:rPr>
          <w:rFonts w:ascii="Times New Roman" w:hAnsi="Times New Roman" w:eastAsia="方正仿宋_GBK"/>
          <w:bCs w:val="0"/>
          <w:color w:val="auto"/>
          <w:szCs w:val="32"/>
          <w:highlight w:val="none"/>
        </w:rPr>
        <w:t>依托白城“五湖相拥、一城七园”独特城市生态格局，</w:t>
      </w:r>
      <w:r>
        <w:rPr>
          <w:rFonts w:hint="default" w:ascii="Times New Roman" w:hAnsi="Times New Roman" w:eastAsia="方正仿宋_GBK"/>
          <w:bCs w:val="0"/>
          <w:color w:val="auto"/>
          <w:szCs w:val="32"/>
          <w:highlight w:val="none"/>
        </w:rPr>
        <w:t>因地制宜打造“吉美”城市白城样板。</w:t>
      </w:r>
      <w:r>
        <w:rPr>
          <w:rFonts w:ascii="Times New Roman" w:hAnsi="Times New Roman" w:eastAsia="方正仿宋_GBK"/>
          <w:bCs w:val="0"/>
          <w:color w:val="auto"/>
          <w:szCs w:val="32"/>
          <w:highlight w:val="none"/>
        </w:rPr>
        <w:t>立足国家级清洁能源基地和氢能试点城市双重优势，将低碳理念深度融入城市规划建设管理全过程。</w:t>
      </w:r>
      <w:r>
        <w:rPr>
          <w:rFonts w:hint="default" w:ascii="Times New Roman" w:hAnsi="Times New Roman" w:eastAsia="方正仿宋_GBK"/>
          <w:bCs w:val="0"/>
          <w:color w:val="auto"/>
          <w:szCs w:val="32"/>
          <w:highlight w:val="none"/>
        </w:rPr>
        <w:t>优化城市生态空间格局，完善城市公园绿地体系，</w:t>
      </w:r>
      <w:r>
        <w:rPr>
          <w:rFonts w:hint="default" w:ascii="Times New Roman" w:hAnsi="Times New Roman" w:eastAsia="方正仿宋_GBK"/>
          <w:bCs w:val="0"/>
          <w:color w:val="auto"/>
          <w:szCs w:val="32"/>
          <w:highlight w:val="none"/>
          <w:lang w:val="en-US" w:eastAsia="zh-CN"/>
        </w:rPr>
        <w:t>持续建设</w:t>
      </w:r>
      <w:r>
        <w:rPr>
          <w:rFonts w:hint="eastAsia" w:ascii="Times New Roman" w:hAnsi="Times New Roman" w:eastAsia="方正仿宋_GBK"/>
          <w:bCs w:val="0"/>
          <w:color w:val="auto"/>
          <w:szCs w:val="32"/>
          <w:highlight w:val="none"/>
          <w:lang w:val="en-US" w:eastAsia="zh-CN"/>
        </w:rPr>
        <w:t>“</w:t>
      </w:r>
      <w:r>
        <w:rPr>
          <w:rFonts w:hint="default" w:ascii="Times New Roman" w:hAnsi="Times New Roman" w:eastAsia="方正仿宋_GBK"/>
          <w:bCs w:val="0"/>
          <w:color w:val="auto"/>
          <w:szCs w:val="32"/>
          <w:highlight w:val="none"/>
          <w:lang w:val="en-US" w:eastAsia="zh-CN"/>
        </w:rPr>
        <w:t>公园城市</w:t>
      </w:r>
      <w:r>
        <w:rPr>
          <w:rFonts w:hint="eastAsia" w:ascii="Times New Roman" w:hAnsi="Times New Roman" w:eastAsia="方正仿宋_GBK"/>
          <w:bCs w:val="0"/>
          <w:color w:val="auto"/>
          <w:szCs w:val="32"/>
          <w:highlight w:val="none"/>
          <w:lang w:val="en-US" w:eastAsia="zh-CN"/>
        </w:rPr>
        <w:t>”，</w:t>
      </w:r>
      <w:r>
        <w:rPr>
          <w:rFonts w:hint="default" w:ascii="Times New Roman" w:hAnsi="Times New Roman" w:eastAsia="方正仿宋_GBK"/>
          <w:bCs w:val="0"/>
          <w:color w:val="auto"/>
          <w:szCs w:val="32"/>
          <w:highlight w:val="none"/>
        </w:rPr>
        <w:t>提升城市人居环境品质。统筹推进城市环境基础设施补短板，强化大气、水、噪声协同治理，推动城市环境公共服务能力与人口规模相适应。</w:t>
      </w:r>
      <w:r>
        <w:rPr>
          <w:rFonts w:hint="eastAsia" w:ascii="Times New Roman" w:hAnsi="Times New Roman" w:eastAsia="方正仿宋_GBK"/>
          <w:bCs w:val="0"/>
          <w:color w:val="auto"/>
          <w:szCs w:val="32"/>
          <w:highlight w:val="none"/>
          <w:lang w:eastAsia="zh-CN"/>
        </w:rPr>
        <w:t>（</w:t>
      </w:r>
      <w:r>
        <w:rPr>
          <w:rFonts w:hint="eastAsia" w:ascii="Times New Roman" w:hAnsi="Times New Roman" w:eastAsia="方正仿宋_GBK"/>
          <w:bCs w:val="0"/>
          <w:color w:val="auto"/>
          <w:szCs w:val="32"/>
          <w:highlight w:val="none"/>
          <w:lang w:val="en-US" w:eastAsia="zh-CN"/>
        </w:rPr>
        <w:t>市公安局、</w:t>
      </w:r>
      <w:r>
        <w:rPr>
          <w:rFonts w:hint="eastAsia" w:eastAsia="方正仿宋_GBK"/>
          <w:bCs w:val="0"/>
          <w:color w:val="auto"/>
          <w:szCs w:val="32"/>
          <w:highlight w:val="none"/>
          <w:lang w:val="en-US" w:eastAsia="zh-CN"/>
        </w:rPr>
        <w:t>市自然资源局、</w:t>
      </w:r>
      <w:r>
        <w:rPr>
          <w:rFonts w:hint="eastAsia" w:ascii="Times New Roman" w:hAnsi="Times New Roman" w:eastAsia="方正仿宋_GBK"/>
          <w:bCs w:val="0"/>
          <w:color w:val="auto"/>
          <w:szCs w:val="32"/>
          <w:highlight w:val="none"/>
          <w:lang w:val="en-US" w:eastAsia="zh-CN"/>
        </w:rPr>
        <w:t>市生态环境局、市</w:t>
      </w:r>
      <w:r>
        <w:rPr>
          <w:rFonts w:hint="eastAsia" w:eastAsia="方正仿宋_GBK"/>
          <w:bCs w:val="0"/>
          <w:color w:val="auto"/>
          <w:szCs w:val="32"/>
          <w:highlight w:val="none"/>
          <w:lang w:val="en-US" w:eastAsia="zh-CN"/>
        </w:rPr>
        <w:t>林草</w:t>
      </w:r>
      <w:r>
        <w:rPr>
          <w:rFonts w:hint="eastAsia" w:ascii="Times New Roman" w:hAnsi="Times New Roman" w:eastAsia="方正仿宋_GBK"/>
          <w:bCs w:val="0"/>
          <w:color w:val="auto"/>
          <w:szCs w:val="32"/>
          <w:highlight w:val="none"/>
          <w:lang w:val="en-US" w:eastAsia="zh-CN"/>
        </w:rPr>
        <w:t>局</w:t>
      </w:r>
      <w:r>
        <w:rPr>
          <w:rFonts w:hint="eastAsia" w:ascii="Times New Roman" w:hAnsi="Times New Roman" w:eastAsia="方正仿宋_GBK"/>
          <w:bCs w:val="0"/>
          <w:color w:val="auto"/>
          <w:szCs w:val="32"/>
          <w:highlight w:val="none"/>
        </w:rPr>
        <w:t>等部门按职责分工负责</w:t>
      </w:r>
      <w:r>
        <w:rPr>
          <w:rFonts w:hint="eastAsia" w:ascii="Times New Roman" w:hAnsi="Times New Roman" w:eastAsia="方正仿宋_GBK"/>
          <w:bCs w:val="0"/>
          <w:color w:val="auto"/>
          <w:szCs w:val="32"/>
          <w:highlight w:val="none"/>
          <w:lang w:eastAsia="zh-CN"/>
        </w:rPr>
        <w:t>）</w:t>
      </w:r>
    </w:p>
    <w:p w14:paraId="04E39058">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78" w:lineRule="exact"/>
        <w:ind w:firstLine="640" w:firstLineChars="200"/>
        <w:textAlignment w:val="auto"/>
        <w:rPr>
          <w:rFonts w:hint="eastAsia" w:ascii="Times New Roman" w:hAnsi="Times New Roman" w:eastAsia="方正仿宋_GBK"/>
          <w:bCs w:val="0"/>
          <w:color w:val="auto"/>
          <w:szCs w:val="32"/>
          <w:highlight w:val="none"/>
          <w:lang w:eastAsia="zh-CN"/>
        </w:rPr>
      </w:pPr>
      <w:r>
        <w:rPr>
          <w:rFonts w:hint="default" w:ascii="方正楷体_GBK" w:hAnsi="方正楷体_GBK" w:cs="方正楷体_GBK"/>
          <w:bCs w:val="0"/>
          <w:color w:val="auto"/>
          <w:szCs w:val="32"/>
          <w:highlight w:val="none"/>
        </w:rPr>
        <w:t>（十</w:t>
      </w:r>
      <w:r>
        <w:rPr>
          <w:rFonts w:hint="eastAsia" w:ascii="方正楷体_GBK" w:hAnsi="方正楷体_GBK" w:cs="方正楷体_GBK"/>
          <w:bCs w:val="0"/>
          <w:color w:val="auto"/>
          <w:szCs w:val="32"/>
          <w:highlight w:val="none"/>
          <w:lang w:val="en-US" w:eastAsia="zh-CN"/>
        </w:rPr>
        <w:t>八</w:t>
      </w:r>
      <w:r>
        <w:rPr>
          <w:rFonts w:hint="default" w:ascii="方正楷体_GBK" w:hAnsi="方正楷体_GBK" w:cs="方正楷体_GBK"/>
          <w:bCs w:val="0"/>
          <w:color w:val="auto"/>
          <w:szCs w:val="32"/>
          <w:highlight w:val="none"/>
        </w:rPr>
        <w:t>）分层分类推进美丽城镇提质建设</w:t>
      </w:r>
      <w:r>
        <w:rPr>
          <w:rFonts w:ascii="方正楷体_GBK" w:hAnsi="方正楷体_GBK" w:cs="方正楷体_GBK"/>
          <w:bCs w:val="0"/>
          <w:color w:val="auto"/>
          <w:szCs w:val="32"/>
          <w:highlight w:val="none"/>
        </w:rPr>
        <w:t>。</w:t>
      </w:r>
      <w:r>
        <w:rPr>
          <w:rFonts w:hint="default" w:ascii="Times New Roman" w:hAnsi="Times New Roman" w:eastAsia="方正仿宋_GBK"/>
          <w:bCs w:val="0"/>
          <w:color w:val="auto"/>
          <w:szCs w:val="32"/>
          <w:highlight w:val="none"/>
          <w:lang w:val="en-US" w:eastAsia="zh-CN"/>
        </w:rPr>
        <w:t>深入实施以县城为重要载体的城镇化建设，坚持城乡一体化融合互促，立足县域特色资源禀赋，科学确定发展定位，因地制宜推进县城和小城镇高质量发展。以县域为单元，实施县城综合承载力提升、重点镇功能提升、特色镇风貌提升等工程，分类施策建设多姿多彩美丽城镇。引导经济强镇、重点建制镇结合地域特色、生态特征、环境基础，因地制宜培育一批产业特而强、功能聚而合、形态小而美、机制新而活的精品名镇。推动实施生态环境治理补短板强弱项行动，一体推进城镇和乡村规划、建设和治理，推动城镇环境基础设施向乡村延伸，实现产业升级、生态改善、人口集聚、城镇发展良性互动。</w:t>
      </w:r>
      <w:r>
        <w:rPr>
          <w:rFonts w:hint="eastAsia" w:ascii="Times New Roman" w:hAnsi="Times New Roman" w:eastAsia="方正仿宋_GBK"/>
          <w:bCs w:val="0"/>
          <w:color w:val="auto"/>
          <w:szCs w:val="32"/>
          <w:highlight w:val="none"/>
          <w:lang w:eastAsia="zh-CN"/>
        </w:rPr>
        <w:t>（</w:t>
      </w:r>
      <w:r>
        <w:rPr>
          <w:rFonts w:hint="eastAsia" w:ascii="Times New Roman" w:hAnsi="Times New Roman" w:eastAsia="方正仿宋_GBK"/>
          <w:bCs w:val="0"/>
          <w:color w:val="auto"/>
          <w:szCs w:val="32"/>
          <w:highlight w:val="none"/>
          <w:lang w:val="en-US" w:eastAsia="zh-CN"/>
        </w:rPr>
        <w:t>市发改委、市生态环境局、市</w:t>
      </w:r>
      <w:r>
        <w:rPr>
          <w:rFonts w:hint="eastAsia" w:eastAsia="方正仿宋_GBK"/>
          <w:bCs w:val="0"/>
          <w:color w:val="auto"/>
          <w:szCs w:val="32"/>
          <w:highlight w:val="none"/>
          <w:lang w:val="en-US" w:eastAsia="zh-CN"/>
        </w:rPr>
        <w:t>农业农村</w:t>
      </w:r>
      <w:r>
        <w:rPr>
          <w:rFonts w:hint="eastAsia" w:ascii="Times New Roman" w:hAnsi="Times New Roman" w:eastAsia="方正仿宋_GBK"/>
          <w:bCs w:val="0"/>
          <w:color w:val="auto"/>
          <w:szCs w:val="32"/>
          <w:highlight w:val="none"/>
          <w:lang w:val="en-US" w:eastAsia="zh-CN"/>
        </w:rPr>
        <w:t>局、市</w:t>
      </w:r>
      <w:r>
        <w:rPr>
          <w:rFonts w:hint="eastAsia" w:eastAsia="方正仿宋_GBK"/>
          <w:bCs w:val="0"/>
          <w:color w:val="auto"/>
          <w:szCs w:val="32"/>
          <w:highlight w:val="none"/>
          <w:lang w:val="en-US" w:eastAsia="zh-CN"/>
        </w:rPr>
        <w:t>文化和旅游</w:t>
      </w:r>
      <w:r>
        <w:rPr>
          <w:rFonts w:hint="eastAsia" w:ascii="Times New Roman" w:hAnsi="Times New Roman" w:eastAsia="方正仿宋_GBK"/>
          <w:bCs w:val="0"/>
          <w:color w:val="auto"/>
          <w:szCs w:val="32"/>
          <w:highlight w:val="none"/>
          <w:lang w:val="en-US" w:eastAsia="zh-CN"/>
        </w:rPr>
        <w:t>局</w:t>
      </w:r>
      <w:r>
        <w:rPr>
          <w:rFonts w:hint="eastAsia" w:ascii="Times New Roman" w:hAnsi="Times New Roman" w:eastAsia="方正仿宋_GBK"/>
          <w:bCs w:val="0"/>
          <w:color w:val="auto"/>
          <w:szCs w:val="32"/>
          <w:highlight w:val="none"/>
        </w:rPr>
        <w:t>等部门按职责分工负责</w:t>
      </w:r>
      <w:r>
        <w:rPr>
          <w:rFonts w:hint="eastAsia" w:ascii="Times New Roman" w:hAnsi="Times New Roman" w:eastAsia="方正仿宋_GBK"/>
          <w:bCs w:val="0"/>
          <w:color w:val="auto"/>
          <w:szCs w:val="32"/>
          <w:highlight w:val="none"/>
          <w:lang w:eastAsia="zh-CN"/>
        </w:rPr>
        <w:t>）</w:t>
      </w:r>
    </w:p>
    <w:p w14:paraId="254D1A99">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78" w:lineRule="exact"/>
        <w:ind w:firstLine="640" w:firstLineChars="200"/>
        <w:textAlignment w:val="auto"/>
        <w:rPr>
          <w:rFonts w:hint="eastAsia" w:ascii="Times New Roman" w:hAnsi="Times New Roman" w:eastAsia="方正仿宋_GBK"/>
          <w:bCs w:val="0"/>
          <w:color w:val="auto"/>
          <w:szCs w:val="32"/>
          <w:highlight w:val="none"/>
          <w:lang w:eastAsia="zh-CN"/>
        </w:rPr>
      </w:pPr>
      <w:r>
        <w:rPr>
          <w:rFonts w:hint="default" w:ascii="方正楷体_GBK" w:hAnsi="方正楷体_GBK" w:cs="方正楷体_GBK"/>
          <w:bCs w:val="0"/>
          <w:color w:val="auto"/>
          <w:szCs w:val="32"/>
          <w:highlight w:val="none"/>
        </w:rPr>
        <w:t>（十</w:t>
      </w:r>
      <w:r>
        <w:rPr>
          <w:rFonts w:hint="eastAsia" w:ascii="方正楷体_GBK" w:hAnsi="方正楷体_GBK" w:cs="方正楷体_GBK"/>
          <w:bCs w:val="0"/>
          <w:color w:val="auto"/>
          <w:szCs w:val="32"/>
          <w:highlight w:val="none"/>
          <w:lang w:val="en-US" w:eastAsia="zh-CN"/>
        </w:rPr>
        <w:t>九</w:t>
      </w:r>
      <w:r>
        <w:rPr>
          <w:rFonts w:hint="default" w:ascii="方正楷体_GBK" w:hAnsi="方正楷体_GBK" w:cs="方正楷体_GBK"/>
          <w:bCs w:val="0"/>
          <w:color w:val="auto"/>
          <w:szCs w:val="32"/>
          <w:highlight w:val="none"/>
        </w:rPr>
        <w:t>）整县推进美丽乡村建设</w:t>
      </w:r>
      <w:r>
        <w:rPr>
          <w:rFonts w:ascii="方正楷体_GBK" w:hAnsi="方正楷体_GBK" w:cs="方正楷体_GBK"/>
          <w:bCs w:val="0"/>
          <w:color w:val="auto"/>
          <w:szCs w:val="32"/>
          <w:highlight w:val="none"/>
        </w:rPr>
        <w:t>。</w:t>
      </w:r>
      <w:r>
        <w:rPr>
          <w:rFonts w:hint="default" w:ascii="Times New Roman" w:hAnsi="Times New Roman" w:eastAsia="方正仿宋_GBK"/>
          <w:bCs w:val="0"/>
          <w:color w:val="auto"/>
          <w:szCs w:val="32"/>
          <w:highlight w:val="none"/>
        </w:rPr>
        <w:t>推动美丽乡村建设与乡村生态振兴</w:t>
      </w:r>
      <w:r>
        <w:rPr>
          <w:rFonts w:ascii="Times New Roman" w:hAnsi="Times New Roman" w:eastAsia="方正仿宋_GBK"/>
          <w:bCs w:val="0"/>
          <w:color w:val="auto"/>
          <w:szCs w:val="32"/>
          <w:highlight w:val="none"/>
        </w:rPr>
        <w:t>和</w:t>
      </w:r>
      <w:r>
        <w:rPr>
          <w:rFonts w:hint="default" w:ascii="Times New Roman" w:hAnsi="Times New Roman" w:eastAsia="方正仿宋_GBK"/>
          <w:bCs w:val="0"/>
          <w:color w:val="auto"/>
          <w:szCs w:val="32"/>
          <w:highlight w:val="none"/>
        </w:rPr>
        <w:t>美乡村建设协同融合</w:t>
      </w:r>
      <w:r>
        <w:rPr>
          <w:rFonts w:ascii="Times New Roman" w:hAnsi="Times New Roman" w:eastAsia="方正仿宋_GBK"/>
          <w:bCs w:val="0"/>
          <w:color w:val="auto"/>
          <w:szCs w:val="32"/>
          <w:highlight w:val="none"/>
        </w:rPr>
        <w:t>。深化“三帮扶一推动”活动机制，持续改善农村人居环境。在348个省级“千村美丽村”和51个省级“百村提升村”基础上，进一步扩大美丽乡村覆盖面。</w:t>
      </w:r>
      <w:r>
        <w:rPr>
          <w:rFonts w:hint="default" w:ascii="Times New Roman" w:hAnsi="Times New Roman" w:eastAsia="方正仿宋_GBK"/>
          <w:bCs w:val="0"/>
          <w:color w:val="auto"/>
          <w:szCs w:val="32"/>
          <w:highlight w:val="none"/>
        </w:rPr>
        <w:t>加快解决农村改厕、污水治理等问题，推进村庄生态环境质量、农业绿色低碳发展水平、农村居民生活品质全面提升。健全农村生活垃圾收运处置常态化运行保障机制。到2030年，农村环境整治新增</w:t>
      </w:r>
      <w:r>
        <w:rPr>
          <w:rFonts w:hint="eastAsia" w:ascii="Times New Roman" w:hAnsi="Times New Roman" w:eastAsia="方正仿宋_GBK"/>
          <w:bCs w:val="0"/>
          <w:color w:val="auto"/>
          <w:szCs w:val="32"/>
          <w:highlight w:val="none"/>
          <w:lang w:val="en-US" w:eastAsia="zh-CN"/>
        </w:rPr>
        <w:t>200</w:t>
      </w:r>
      <w:r>
        <w:rPr>
          <w:rFonts w:hint="default" w:ascii="Times New Roman" w:hAnsi="Times New Roman" w:eastAsia="方正仿宋_GBK"/>
          <w:bCs w:val="0"/>
          <w:color w:val="auto"/>
          <w:szCs w:val="32"/>
          <w:highlight w:val="none"/>
        </w:rPr>
        <w:t>个行政村。</w:t>
      </w:r>
      <w:r>
        <w:rPr>
          <w:rFonts w:hint="eastAsia" w:ascii="Times New Roman" w:hAnsi="Times New Roman" w:eastAsia="方正仿宋_GBK"/>
          <w:bCs w:val="0"/>
          <w:color w:val="auto"/>
          <w:szCs w:val="32"/>
          <w:highlight w:val="none"/>
          <w:lang w:eastAsia="zh-CN"/>
        </w:rPr>
        <w:t>（</w:t>
      </w:r>
      <w:r>
        <w:rPr>
          <w:rFonts w:hint="eastAsia" w:ascii="Times New Roman" w:hAnsi="Times New Roman" w:eastAsia="方正仿宋_GBK"/>
          <w:bCs w:val="0"/>
          <w:color w:val="auto"/>
          <w:szCs w:val="32"/>
          <w:highlight w:val="none"/>
          <w:lang w:val="en-US" w:eastAsia="zh-CN"/>
        </w:rPr>
        <w:t>市生态环境局、市住建局、市</w:t>
      </w:r>
      <w:r>
        <w:rPr>
          <w:rFonts w:hint="eastAsia" w:eastAsia="方正仿宋_GBK"/>
          <w:bCs w:val="0"/>
          <w:color w:val="auto"/>
          <w:szCs w:val="32"/>
          <w:highlight w:val="none"/>
          <w:lang w:val="en-US" w:eastAsia="zh-CN"/>
        </w:rPr>
        <w:t>农业农村</w:t>
      </w:r>
      <w:r>
        <w:rPr>
          <w:rFonts w:hint="eastAsia" w:ascii="Times New Roman" w:hAnsi="Times New Roman" w:eastAsia="方正仿宋_GBK"/>
          <w:bCs w:val="0"/>
          <w:color w:val="auto"/>
          <w:szCs w:val="32"/>
          <w:highlight w:val="none"/>
          <w:lang w:val="en-US" w:eastAsia="zh-CN"/>
        </w:rPr>
        <w:t>局</w:t>
      </w:r>
      <w:r>
        <w:rPr>
          <w:rFonts w:hint="eastAsia" w:ascii="Times New Roman" w:hAnsi="Times New Roman" w:eastAsia="方正仿宋_GBK"/>
          <w:bCs w:val="0"/>
          <w:color w:val="auto"/>
          <w:szCs w:val="32"/>
          <w:highlight w:val="none"/>
        </w:rPr>
        <w:t>等部门按职责分工负责</w:t>
      </w:r>
      <w:r>
        <w:rPr>
          <w:rFonts w:hint="eastAsia" w:ascii="Times New Roman" w:hAnsi="Times New Roman" w:eastAsia="方正仿宋_GBK"/>
          <w:bCs w:val="0"/>
          <w:color w:val="auto"/>
          <w:szCs w:val="32"/>
          <w:highlight w:val="none"/>
          <w:lang w:eastAsia="zh-CN"/>
        </w:rPr>
        <w:t>）</w:t>
      </w:r>
    </w:p>
    <w:p w14:paraId="3B9F4ECC">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78" w:lineRule="exact"/>
        <w:ind w:firstLine="640" w:firstLineChars="200"/>
        <w:textAlignment w:val="auto"/>
        <w:rPr>
          <w:rFonts w:hint="eastAsia" w:ascii="Times New Roman" w:hAnsi="Times New Roman" w:eastAsia="方正仿宋_GBK"/>
          <w:bCs w:val="0"/>
          <w:color w:val="auto"/>
          <w:szCs w:val="32"/>
          <w:highlight w:val="none"/>
          <w:lang w:eastAsia="zh-CN"/>
        </w:rPr>
      </w:pPr>
      <w:r>
        <w:rPr>
          <w:rFonts w:hint="default" w:ascii="方正楷体_GBK" w:hAnsi="方正楷体_GBK" w:cs="方正楷体_GBK"/>
          <w:bCs w:val="0"/>
          <w:color w:val="auto"/>
          <w:szCs w:val="32"/>
          <w:highlight w:val="none"/>
        </w:rPr>
        <w:t>（</w:t>
      </w:r>
      <w:r>
        <w:rPr>
          <w:rFonts w:hint="eastAsia" w:ascii="方正楷体_GBK" w:hAnsi="方正楷体_GBK" w:cs="方正楷体_GBK"/>
          <w:bCs w:val="0"/>
          <w:color w:val="auto"/>
          <w:szCs w:val="32"/>
          <w:highlight w:val="none"/>
          <w:lang w:val="en-US" w:eastAsia="zh-CN"/>
        </w:rPr>
        <w:t>二十</w:t>
      </w:r>
      <w:r>
        <w:rPr>
          <w:rFonts w:hint="default" w:ascii="方正楷体_GBK" w:hAnsi="方正楷体_GBK" w:cs="方正楷体_GBK"/>
          <w:bCs w:val="0"/>
          <w:color w:val="auto"/>
          <w:szCs w:val="32"/>
          <w:highlight w:val="none"/>
        </w:rPr>
        <w:t>）多元拓展美丽系列细胞创建场景</w:t>
      </w:r>
      <w:r>
        <w:rPr>
          <w:rFonts w:ascii="方正楷体_GBK" w:hAnsi="方正楷体_GBK" w:cs="方正楷体_GBK"/>
          <w:bCs w:val="0"/>
          <w:color w:val="auto"/>
          <w:szCs w:val="32"/>
          <w:highlight w:val="none"/>
        </w:rPr>
        <w:t>。</w:t>
      </w:r>
      <w:r>
        <w:rPr>
          <w:rFonts w:hint="default" w:ascii="Times New Roman" w:hAnsi="Times New Roman" w:eastAsia="方正仿宋_GBK"/>
          <w:bCs w:val="0"/>
          <w:color w:val="auto"/>
          <w:szCs w:val="32"/>
          <w:highlight w:val="none"/>
        </w:rPr>
        <w:t>鼓励引导各类园区、厂矿企业、学校、街道、庭院等开展绿色、清洁、零碳引领行动，以大安、洮南、镇赉、通榆经济开发区列入省级零碳园区建设名单为基础，优化能源供给结构，强化能源消费管理，加强绿色低碳先进适用技术推广应用，扎实推进零碳园区建设。推动</w:t>
      </w:r>
      <w:r>
        <w:rPr>
          <w:rFonts w:hint="eastAsia" w:ascii="Times New Roman" w:hAnsi="Times New Roman" w:eastAsia="方正仿宋_GBK"/>
          <w:bCs w:val="0"/>
          <w:color w:val="auto"/>
          <w:szCs w:val="32"/>
          <w:highlight w:val="none"/>
          <w:lang w:val="en-US" w:eastAsia="zh-CN"/>
        </w:rPr>
        <w:t>美丽</w:t>
      </w:r>
      <w:r>
        <w:rPr>
          <w:rFonts w:hint="default" w:ascii="Times New Roman" w:hAnsi="Times New Roman" w:eastAsia="方正仿宋_GBK"/>
          <w:bCs w:val="0"/>
          <w:color w:val="auto"/>
          <w:szCs w:val="32"/>
          <w:highlight w:val="none"/>
        </w:rPr>
        <w:t>社区、美丽机关、美丽工厂、美丽商场等多样化美丽细胞。开发美丽公路、美丽河湖、美丽传统村落等美丽建设特色路径，打造“在这里看见美丽中国”白城体验地。</w:t>
      </w:r>
      <w:r>
        <w:rPr>
          <w:rFonts w:hint="eastAsia" w:ascii="Times New Roman" w:hAnsi="Times New Roman" w:eastAsia="方正仿宋_GBK"/>
          <w:bCs w:val="0"/>
          <w:color w:val="auto"/>
          <w:szCs w:val="32"/>
          <w:highlight w:val="none"/>
          <w:lang w:eastAsia="zh-CN"/>
        </w:rPr>
        <w:t>（</w:t>
      </w:r>
      <w:r>
        <w:rPr>
          <w:rFonts w:hint="eastAsia" w:ascii="Times New Roman" w:hAnsi="Times New Roman" w:eastAsia="方正仿宋_GBK"/>
          <w:bCs w:val="0"/>
          <w:color w:val="auto"/>
          <w:szCs w:val="32"/>
          <w:highlight w:val="none"/>
          <w:lang w:val="en-US" w:eastAsia="zh-CN"/>
        </w:rPr>
        <w:t>市发改委、市教育局、市工信局、市生态环境局、市交通局、市</w:t>
      </w:r>
      <w:r>
        <w:rPr>
          <w:rFonts w:hint="eastAsia" w:eastAsia="方正仿宋_GBK"/>
          <w:bCs w:val="0"/>
          <w:color w:val="auto"/>
          <w:szCs w:val="32"/>
          <w:highlight w:val="none"/>
          <w:lang w:val="en-US" w:eastAsia="zh-CN"/>
        </w:rPr>
        <w:t>文化和旅游</w:t>
      </w:r>
      <w:r>
        <w:rPr>
          <w:rFonts w:hint="eastAsia" w:ascii="Times New Roman" w:hAnsi="Times New Roman" w:eastAsia="方正仿宋_GBK"/>
          <w:bCs w:val="0"/>
          <w:color w:val="auto"/>
          <w:szCs w:val="32"/>
          <w:highlight w:val="none"/>
          <w:lang w:val="en-US" w:eastAsia="zh-CN"/>
        </w:rPr>
        <w:t>局</w:t>
      </w:r>
      <w:r>
        <w:rPr>
          <w:rFonts w:hint="eastAsia" w:ascii="Times New Roman" w:hAnsi="Times New Roman" w:eastAsia="方正仿宋_GBK"/>
          <w:bCs w:val="0"/>
          <w:color w:val="auto"/>
          <w:szCs w:val="32"/>
          <w:highlight w:val="none"/>
        </w:rPr>
        <w:t>等部门按职责分工负责</w:t>
      </w:r>
      <w:r>
        <w:rPr>
          <w:rFonts w:hint="eastAsia" w:ascii="Times New Roman" w:hAnsi="Times New Roman" w:eastAsia="方正仿宋_GBK"/>
          <w:bCs w:val="0"/>
          <w:color w:val="auto"/>
          <w:szCs w:val="32"/>
          <w:highlight w:val="none"/>
          <w:lang w:eastAsia="zh-CN"/>
        </w:rPr>
        <w:t>）</w:t>
      </w:r>
    </w:p>
    <w:p w14:paraId="0BE0CB42">
      <w:pPr>
        <w:pStyle w:val="3"/>
        <w:keepNext w:val="0"/>
        <w:keepLines w:val="0"/>
        <w:pageBreakBefore w:val="0"/>
        <w:widowControl w:val="0"/>
        <w:kinsoku/>
        <w:wordWrap/>
        <w:overflowPunct/>
        <w:topLinePunct w:val="0"/>
        <w:autoSpaceDE/>
        <w:autoSpaceDN/>
        <w:bidi w:val="0"/>
        <w:adjustRightInd/>
        <w:snapToGrid/>
        <w:spacing w:before="0" w:after="0" w:line="578" w:lineRule="exact"/>
        <w:ind w:firstLine="640" w:firstLineChars="200"/>
        <w:jc w:val="left"/>
        <w:textAlignment w:val="auto"/>
        <w:rPr>
          <w:rFonts w:ascii="方正黑体_GBK" w:hAnsi="方正黑体_GBK" w:eastAsia="方正黑体_GBK" w:cs="方正黑体_GBK"/>
          <w:bCs w:val="0"/>
          <w:color w:val="auto"/>
          <w:highlight w:val="none"/>
        </w:rPr>
      </w:pPr>
      <w:bookmarkStart w:id="15" w:name="_Toc29109"/>
      <w:bookmarkStart w:id="16" w:name="_Toc13868"/>
      <w:r>
        <w:rPr>
          <w:rFonts w:ascii="方正黑体_GBK" w:hAnsi="方正黑体_GBK" w:eastAsia="方正黑体_GBK" w:cs="方正黑体_GBK"/>
          <w:bCs w:val="0"/>
          <w:color w:val="auto"/>
          <w:highlight w:val="none"/>
        </w:rPr>
        <w:t>六、</w:t>
      </w:r>
      <w:bookmarkEnd w:id="15"/>
      <w:r>
        <w:rPr>
          <w:rFonts w:ascii="方正黑体_GBK" w:hAnsi="方正黑体_GBK" w:eastAsia="方正黑体_GBK" w:cs="方正黑体_GBK"/>
          <w:bCs w:val="0"/>
          <w:color w:val="auto"/>
          <w:highlight w:val="none"/>
        </w:rPr>
        <w:t>深挖生态资源价值，“两山”转化打开新局面</w:t>
      </w:r>
      <w:bookmarkEnd w:id="16"/>
    </w:p>
    <w:p w14:paraId="28403358">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78" w:lineRule="exact"/>
        <w:ind w:firstLine="640" w:firstLineChars="200"/>
        <w:textAlignment w:val="auto"/>
        <w:rPr>
          <w:rFonts w:hint="eastAsia" w:eastAsia="方正仿宋_GBK"/>
          <w:color w:val="auto"/>
          <w:highlight w:val="none"/>
          <w:lang w:eastAsia="zh-CN"/>
        </w:rPr>
      </w:pPr>
      <w:r>
        <w:rPr>
          <w:rFonts w:ascii="方正楷体_GBK" w:hAnsi="方正楷体_GBK" w:cs="方正楷体_GBK"/>
          <w:bCs w:val="0"/>
          <w:color w:val="auto"/>
          <w:szCs w:val="32"/>
          <w:highlight w:val="none"/>
        </w:rPr>
        <w:t>（</w:t>
      </w:r>
      <w:r>
        <w:rPr>
          <w:rFonts w:hint="eastAsia" w:ascii="方正楷体_GBK" w:hAnsi="方正楷体_GBK" w:cs="方正楷体_GBK"/>
          <w:bCs w:val="0"/>
          <w:color w:val="auto"/>
          <w:szCs w:val="32"/>
          <w:highlight w:val="none"/>
          <w:lang w:val="en-US" w:eastAsia="zh-CN"/>
        </w:rPr>
        <w:t>二十一</w:t>
      </w:r>
      <w:r>
        <w:rPr>
          <w:rFonts w:ascii="方正楷体_GBK" w:hAnsi="方正楷体_GBK" w:cs="方正楷体_GBK"/>
          <w:bCs w:val="0"/>
          <w:color w:val="auto"/>
          <w:szCs w:val="32"/>
          <w:highlight w:val="none"/>
        </w:rPr>
        <w:t>）丰富拓展“生态+”多元产业业态。</w:t>
      </w:r>
      <w:r>
        <w:rPr>
          <w:rFonts w:ascii="方正仿宋_GBK" w:hAnsi="方正仿宋_GBK" w:eastAsia="方正仿宋_GBK" w:cs="方正仿宋_GBK"/>
          <w:b/>
          <w:color w:val="auto"/>
          <w:szCs w:val="32"/>
          <w:highlight w:val="none"/>
        </w:rPr>
        <w:t>发展生态农业，</w:t>
      </w:r>
      <w:r>
        <w:rPr>
          <w:rFonts w:hint="default" w:ascii="Times New Roman" w:hAnsi="Times New Roman" w:eastAsia="方正仿宋_GBK"/>
          <w:bCs w:val="0"/>
          <w:color w:val="auto"/>
          <w:szCs w:val="32"/>
          <w:highlight w:val="none"/>
        </w:rPr>
        <w:t>开展农业绿色发展行动</w:t>
      </w:r>
      <w:r>
        <w:rPr>
          <w:rFonts w:ascii="Times New Roman" w:hAnsi="Times New Roman" w:eastAsia="方正仿宋_GBK"/>
          <w:bCs w:val="0"/>
          <w:color w:val="auto"/>
          <w:szCs w:val="32"/>
          <w:highlight w:val="none"/>
        </w:rPr>
        <w:t>，</w:t>
      </w:r>
      <w:r>
        <w:rPr>
          <w:rFonts w:hint="default" w:ascii="Times New Roman" w:hAnsi="Times New Roman" w:eastAsia="方正仿宋_GBK"/>
          <w:bCs w:val="0"/>
          <w:color w:val="auto"/>
          <w:szCs w:val="32"/>
          <w:highlight w:val="none"/>
        </w:rPr>
        <w:t>科学防控病虫害</w:t>
      </w:r>
      <w:r>
        <w:rPr>
          <w:rFonts w:ascii="Times New Roman" w:hAnsi="Times New Roman" w:eastAsia="方正仿宋_GBK"/>
          <w:bCs w:val="0"/>
          <w:color w:val="auto"/>
          <w:szCs w:val="32"/>
          <w:highlight w:val="none"/>
        </w:rPr>
        <w:t>，</w:t>
      </w:r>
      <w:r>
        <w:rPr>
          <w:rFonts w:hint="default" w:ascii="Times New Roman" w:hAnsi="Times New Roman" w:eastAsia="方正仿宋_GBK"/>
          <w:bCs w:val="0"/>
          <w:color w:val="auto"/>
          <w:szCs w:val="32"/>
          <w:highlight w:val="none"/>
        </w:rPr>
        <w:t>指导各地区开展精准防治病虫害，通过推广生物防治、物理防治、生态调控等技术手段减少化学农药使用量，使绿色防控技术面积达50%以上。推广植保无人机等高效器械提高农药利用率达40%以上。到2030年，主要粮食作物病虫危害损失率控制在5%以下。</w:t>
      </w:r>
      <w:r>
        <w:rPr>
          <w:rFonts w:ascii="Times New Roman" w:hAnsi="Times New Roman" w:eastAsia="方正仿宋_GBK"/>
          <w:b/>
          <w:color w:val="auto"/>
          <w:szCs w:val="32"/>
          <w:highlight w:val="none"/>
        </w:rPr>
        <w:t>发展生态牧业，</w:t>
      </w:r>
      <w:r>
        <w:rPr>
          <w:rFonts w:ascii="Times New Roman" w:hAnsi="Times New Roman" w:eastAsia="方正仿宋_GBK"/>
          <w:bCs w:val="0"/>
          <w:color w:val="auto"/>
          <w:szCs w:val="32"/>
          <w:highlight w:val="none"/>
        </w:rPr>
        <w:t>坚持总量扩张与质量提升并重、产业发展与生态保护并重，以“四化”举措促进畜牧业全链条升级、竞争力增强。到2030年，力争全市畜禽饲养总量突破5000万头（只）。</w:t>
      </w:r>
      <w:r>
        <w:rPr>
          <w:rFonts w:ascii="Times New Roman" w:hAnsi="Times New Roman" w:eastAsia="方正仿宋_GBK"/>
          <w:b/>
          <w:color w:val="auto"/>
          <w:szCs w:val="32"/>
          <w:highlight w:val="none"/>
        </w:rPr>
        <w:t>发展生态渔业，</w:t>
      </w:r>
      <w:r>
        <w:rPr>
          <w:rFonts w:ascii="Times New Roman" w:hAnsi="Times New Roman" w:eastAsia="方正仿宋_GBK"/>
          <w:bCs w:val="0"/>
          <w:color w:val="auto"/>
          <w:szCs w:val="32"/>
          <w:highlight w:val="none"/>
        </w:rPr>
        <w:t>坚持生态保护与产业协调发展，深挖湖泊、水库、池塘及稻鱼综合种养等多元模式潜力。培育引入优质企业，带动产业提质增效。依托湖库资源，完善休闲观光、垂钓体验、特色餐饮等配套服务，塑造消费新场景，带动区域经济增长。到2030年，力争渔业经济总产值达到30亿元。</w:t>
      </w:r>
      <w:r>
        <w:rPr>
          <w:rFonts w:ascii="Times New Roman" w:hAnsi="Times New Roman" w:eastAsia="方正仿宋_GBK"/>
          <w:b/>
          <w:color w:val="auto"/>
          <w:szCs w:val="32"/>
          <w:highlight w:val="none"/>
        </w:rPr>
        <w:t>发展生态旅游业，</w:t>
      </w:r>
      <w:r>
        <w:rPr>
          <w:rFonts w:hint="default" w:ascii="Times New Roman" w:hAnsi="Times New Roman" w:eastAsia="方正仿宋_GBK"/>
          <w:color w:val="auto"/>
          <w:szCs w:val="32"/>
          <w:highlight w:val="none"/>
        </w:rPr>
        <w:t>依托向海、莫莫格两大全国知名湿地资源，深化自然保护区生态旅游管理机制改革试点，通过生态旅游综合开发，打造具有较强影响力的湿地鹤舞核心景观。依托全国最大苏高血马核心种群资源，打造草原骑射、自驾露营业态，同步推进苏高血马文创产品开发，实现“种群资源+业态体验+文创赋能”的多元发展模式。</w:t>
      </w:r>
      <w:r>
        <w:rPr>
          <w:rFonts w:hint="eastAsia" w:ascii="Times New Roman" w:hAnsi="Times New Roman" w:eastAsia="方正仿宋_GBK"/>
          <w:bCs w:val="0"/>
          <w:color w:val="auto"/>
          <w:szCs w:val="32"/>
          <w:highlight w:val="none"/>
          <w:lang w:eastAsia="zh-CN"/>
        </w:rPr>
        <w:t>（</w:t>
      </w:r>
      <w:r>
        <w:rPr>
          <w:rFonts w:hint="eastAsia" w:ascii="Times New Roman" w:hAnsi="Times New Roman" w:eastAsia="方正仿宋_GBK"/>
          <w:bCs w:val="0"/>
          <w:color w:val="auto"/>
          <w:szCs w:val="32"/>
          <w:highlight w:val="none"/>
          <w:lang w:val="en-US" w:eastAsia="zh-CN"/>
        </w:rPr>
        <w:t>市自然资源局、市生态环境局、市农业农村局、市</w:t>
      </w:r>
      <w:r>
        <w:rPr>
          <w:rFonts w:hint="eastAsia" w:eastAsia="方正仿宋_GBK"/>
          <w:bCs w:val="0"/>
          <w:color w:val="auto"/>
          <w:szCs w:val="32"/>
          <w:highlight w:val="none"/>
          <w:lang w:val="en-US" w:eastAsia="zh-CN"/>
        </w:rPr>
        <w:t>文化和旅游</w:t>
      </w:r>
      <w:r>
        <w:rPr>
          <w:rFonts w:hint="eastAsia" w:ascii="Times New Roman" w:hAnsi="Times New Roman" w:eastAsia="方正仿宋_GBK"/>
          <w:bCs w:val="0"/>
          <w:color w:val="auto"/>
          <w:szCs w:val="32"/>
          <w:highlight w:val="none"/>
          <w:lang w:val="en-US" w:eastAsia="zh-CN"/>
        </w:rPr>
        <w:t>局、市卫生健康委、市林草局</w:t>
      </w:r>
      <w:r>
        <w:rPr>
          <w:rFonts w:hint="eastAsia" w:ascii="Times New Roman" w:hAnsi="Times New Roman" w:eastAsia="方正仿宋_GBK"/>
          <w:bCs w:val="0"/>
          <w:color w:val="auto"/>
          <w:szCs w:val="32"/>
          <w:highlight w:val="none"/>
        </w:rPr>
        <w:t>等部门按职责分工负责</w:t>
      </w:r>
      <w:r>
        <w:rPr>
          <w:rFonts w:hint="eastAsia" w:ascii="Times New Roman" w:hAnsi="Times New Roman" w:eastAsia="方正仿宋_GBK"/>
          <w:bCs w:val="0"/>
          <w:color w:val="auto"/>
          <w:szCs w:val="32"/>
          <w:highlight w:val="none"/>
          <w:lang w:eastAsia="zh-CN"/>
        </w:rPr>
        <w:t>）</w:t>
      </w:r>
    </w:p>
    <w:p w14:paraId="115F91C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78" w:lineRule="exact"/>
        <w:ind w:firstLine="640" w:firstLineChars="200"/>
        <w:textAlignment w:val="auto"/>
        <w:rPr>
          <w:rFonts w:hint="eastAsia" w:ascii="Times New Roman" w:hAnsi="Times New Roman" w:eastAsia="方正仿宋_GBK"/>
          <w:bCs w:val="0"/>
          <w:color w:val="auto"/>
          <w:szCs w:val="32"/>
          <w:highlight w:val="none"/>
          <w:lang w:eastAsia="zh-CN"/>
        </w:rPr>
      </w:pPr>
      <w:r>
        <w:rPr>
          <w:rFonts w:ascii="方正楷体_GBK" w:hAnsi="方正楷体_GBK" w:cs="方正楷体_GBK"/>
          <w:bCs w:val="0"/>
          <w:color w:val="auto"/>
          <w:szCs w:val="32"/>
          <w:highlight w:val="none"/>
        </w:rPr>
        <w:t>（</w:t>
      </w:r>
      <w:r>
        <w:rPr>
          <w:rFonts w:hint="eastAsia" w:ascii="方正楷体_GBK" w:hAnsi="方正楷体_GBK" w:cs="方正楷体_GBK"/>
          <w:bCs w:val="0"/>
          <w:color w:val="auto"/>
          <w:szCs w:val="32"/>
          <w:highlight w:val="none"/>
          <w:lang w:val="en-US" w:eastAsia="zh-CN"/>
        </w:rPr>
        <w:t>二十二</w:t>
      </w:r>
      <w:r>
        <w:rPr>
          <w:rFonts w:ascii="方正楷体_GBK" w:hAnsi="方正楷体_GBK" w:cs="方正楷体_GBK"/>
          <w:bCs w:val="0"/>
          <w:color w:val="auto"/>
          <w:szCs w:val="32"/>
          <w:highlight w:val="none"/>
        </w:rPr>
        <w:t>）</w:t>
      </w:r>
      <w:r>
        <w:rPr>
          <w:rFonts w:hint="eastAsia" w:ascii="方正楷体_GBK" w:hAnsi="方正楷体_GBK" w:cs="方正楷体_GBK"/>
          <w:bCs w:val="0"/>
          <w:color w:val="auto"/>
          <w:szCs w:val="32"/>
          <w:highlight w:val="none"/>
          <w:lang w:val="en-US" w:eastAsia="zh-CN"/>
        </w:rPr>
        <w:t>落实</w:t>
      </w:r>
      <w:r>
        <w:rPr>
          <w:rFonts w:ascii="方正楷体_GBK" w:hAnsi="方正楷体_GBK" w:cs="方正楷体_GBK"/>
          <w:bCs w:val="0"/>
          <w:color w:val="auto"/>
          <w:szCs w:val="32"/>
          <w:highlight w:val="none"/>
        </w:rPr>
        <w:t>生态产品价值实现</w:t>
      </w:r>
      <w:r>
        <w:rPr>
          <w:rFonts w:hint="eastAsia" w:ascii="方正楷体_GBK" w:hAnsi="方正楷体_GBK" w:cs="方正楷体_GBK"/>
          <w:bCs w:val="0"/>
          <w:color w:val="auto"/>
          <w:szCs w:val="32"/>
          <w:highlight w:val="none"/>
        </w:rPr>
        <w:t>机制</w:t>
      </w:r>
      <w:r>
        <w:rPr>
          <w:rFonts w:ascii="方正楷体_GBK" w:hAnsi="方正楷体_GBK" w:cs="方正楷体_GBK"/>
          <w:bCs w:val="0"/>
          <w:color w:val="auto"/>
          <w:szCs w:val="32"/>
          <w:highlight w:val="none"/>
        </w:rPr>
        <w:t>。</w:t>
      </w:r>
      <w:r>
        <w:rPr>
          <w:rFonts w:ascii="方正仿宋_GBK" w:hAnsi="方正仿宋_GBK" w:eastAsia="方正仿宋_GBK" w:cs="方正仿宋_GBK"/>
          <w:b/>
          <w:color w:val="auto"/>
          <w:szCs w:val="32"/>
          <w:highlight w:val="none"/>
        </w:rPr>
        <w:t>推进绿电改造升级，</w:t>
      </w:r>
      <w:r>
        <w:rPr>
          <w:rFonts w:hint="default" w:ascii="Times New Roman" w:hAnsi="Times New Roman" w:eastAsia="方正仿宋_GBK"/>
          <w:bCs w:val="0"/>
          <w:color w:val="auto"/>
          <w:szCs w:val="32"/>
          <w:highlight w:val="none"/>
        </w:rPr>
        <w:t>立足风光资源禀赋和化工园区承载优势，加速释放风光资源优势潜力，力争“十五五”期间新增风光总装机2000万千瓦、分布式光伏30万千瓦、改造升级100万千瓦。</w:t>
      </w:r>
      <w:r>
        <w:rPr>
          <w:rFonts w:hint="default" w:ascii="Times New Roman" w:hAnsi="Times New Roman" w:eastAsia="方正仿宋_GBK"/>
          <w:b/>
          <w:color w:val="auto"/>
          <w:szCs w:val="32"/>
          <w:highlight w:val="none"/>
        </w:rPr>
        <w:t>积极参与碳市场建设，</w:t>
      </w:r>
      <w:r>
        <w:rPr>
          <w:rFonts w:hint="default" w:ascii="Times New Roman" w:hAnsi="Times New Roman" w:eastAsia="方正仿宋_GBK"/>
          <w:bCs w:val="0"/>
          <w:color w:val="auto"/>
          <w:szCs w:val="32"/>
          <w:highlight w:val="none"/>
        </w:rPr>
        <w:t>组织指导全市碳排放重点管理单位</w:t>
      </w:r>
      <w:r>
        <w:rPr>
          <w:rFonts w:hint="default" w:ascii="Times New Roman" w:hAnsi="Times New Roman" w:eastAsia="方正仿宋_GBK"/>
          <w:bCs w:val="0"/>
          <w:color w:val="auto"/>
          <w:szCs w:val="32"/>
          <w:highlight w:val="none"/>
          <w:lang w:eastAsia="zh-CN"/>
        </w:rPr>
        <w:t>在</w:t>
      </w:r>
      <w:r>
        <w:rPr>
          <w:rFonts w:hint="default" w:ascii="Times New Roman" w:hAnsi="Times New Roman" w:eastAsia="方正仿宋_GBK"/>
          <w:bCs w:val="0"/>
          <w:color w:val="auto"/>
          <w:szCs w:val="32"/>
          <w:highlight w:val="none"/>
        </w:rPr>
        <w:t>“十五五”期间碳市场履约率</w:t>
      </w:r>
      <w:r>
        <w:rPr>
          <w:rFonts w:hint="default" w:ascii="Times New Roman" w:hAnsi="Times New Roman" w:eastAsia="方正仿宋_GBK"/>
          <w:bCs w:val="0"/>
          <w:color w:val="auto"/>
          <w:szCs w:val="32"/>
          <w:highlight w:val="none"/>
          <w:lang w:eastAsia="zh-CN"/>
        </w:rPr>
        <w:t>始终保持</w:t>
      </w:r>
      <w:r>
        <w:rPr>
          <w:rFonts w:hint="default" w:ascii="Times New Roman" w:hAnsi="Times New Roman" w:eastAsia="方正仿宋_GBK"/>
          <w:bCs w:val="0"/>
          <w:color w:val="auto"/>
          <w:szCs w:val="32"/>
          <w:highlight w:val="none"/>
        </w:rPr>
        <w:t>100%。</w:t>
      </w:r>
      <w:r>
        <w:rPr>
          <w:rFonts w:hint="default" w:ascii="Times New Roman" w:hAnsi="Times New Roman" w:eastAsia="方正仿宋_GBK"/>
          <w:b/>
          <w:color w:val="auto"/>
          <w:szCs w:val="32"/>
          <w:highlight w:val="none"/>
        </w:rPr>
        <w:t>全域推进生态示范创建，</w:t>
      </w:r>
      <w:r>
        <w:rPr>
          <w:rFonts w:hint="default" w:ascii="Times New Roman" w:hAnsi="Times New Roman" w:eastAsia="方正仿宋_GBK"/>
          <w:bCs w:val="0"/>
          <w:color w:val="auto"/>
          <w:szCs w:val="32"/>
          <w:highlight w:val="none"/>
        </w:rPr>
        <w:t>强化生态文明建设示范区、“两山”实践创新基地建设。积极推广品牌塑造型和生态延伸型“两山”转化模式。</w:t>
      </w:r>
      <w:r>
        <w:rPr>
          <w:rFonts w:hint="eastAsia" w:ascii="Times New Roman" w:hAnsi="Times New Roman" w:eastAsia="方正仿宋_GBK"/>
          <w:bCs w:val="0"/>
          <w:color w:val="auto"/>
          <w:szCs w:val="32"/>
          <w:highlight w:val="none"/>
          <w:lang w:eastAsia="zh-CN"/>
        </w:rPr>
        <w:t>（</w:t>
      </w:r>
      <w:r>
        <w:rPr>
          <w:rFonts w:hint="eastAsia" w:ascii="Times New Roman" w:hAnsi="Times New Roman" w:eastAsia="方正仿宋_GBK"/>
          <w:bCs w:val="0"/>
          <w:color w:val="auto"/>
          <w:szCs w:val="32"/>
          <w:highlight w:val="none"/>
          <w:lang w:val="en-US" w:eastAsia="zh-CN"/>
        </w:rPr>
        <w:t>市发改委、市财政局、市自然资源局、市生态环境局、市林草局</w:t>
      </w:r>
      <w:r>
        <w:rPr>
          <w:rFonts w:hint="eastAsia" w:ascii="Times New Roman" w:hAnsi="Times New Roman" w:eastAsia="方正仿宋_GBK"/>
          <w:bCs w:val="0"/>
          <w:color w:val="auto"/>
          <w:szCs w:val="32"/>
          <w:highlight w:val="none"/>
        </w:rPr>
        <w:t>等部门按职责分工负责</w:t>
      </w:r>
      <w:r>
        <w:rPr>
          <w:rFonts w:hint="eastAsia" w:ascii="Times New Roman" w:hAnsi="Times New Roman" w:eastAsia="方正仿宋_GBK"/>
          <w:bCs w:val="0"/>
          <w:color w:val="auto"/>
          <w:szCs w:val="32"/>
          <w:highlight w:val="none"/>
          <w:lang w:eastAsia="zh-CN"/>
        </w:rPr>
        <w:t>）</w:t>
      </w:r>
    </w:p>
    <w:p w14:paraId="0D0DD815">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78" w:lineRule="exact"/>
        <w:ind w:firstLine="640" w:firstLineChars="200"/>
        <w:textAlignment w:val="auto"/>
        <w:rPr>
          <w:rFonts w:hint="eastAsia" w:ascii="Times New Roman" w:hAnsi="Times New Roman" w:eastAsia="方正仿宋_GBK"/>
          <w:bCs w:val="0"/>
          <w:color w:val="auto"/>
          <w:szCs w:val="32"/>
          <w:highlight w:val="none"/>
          <w:lang w:eastAsia="zh-CN"/>
        </w:rPr>
      </w:pPr>
      <w:r>
        <w:rPr>
          <w:rFonts w:hint="default" w:ascii="方正楷体_GBK" w:hAnsi="方正楷体_GBK" w:cs="方正楷体_GBK"/>
          <w:bCs w:val="0"/>
          <w:color w:val="auto"/>
          <w:szCs w:val="32"/>
          <w:highlight w:val="none"/>
        </w:rPr>
        <w:t>（二十</w:t>
      </w:r>
      <w:r>
        <w:rPr>
          <w:rFonts w:hint="eastAsia" w:ascii="方正楷体_GBK" w:hAnsi="方正楷体_GBK" w:cs="方正楷体_GBK"/>
          <w:bCs w:val="0"/>
          <w:color w:val="auto"/>
          <w:szCs w:val="32"/>
          <w:highlight w:val="none"/>
          <w:lang w:val="en-US" w:eastAsia="zh-CN"/>
        </w:rPr>
        <w:t>三</w:t>
      </w:r>
      <w:r>
        <w:rPr>
          <w:rFonts w:hint="default" w:ascii="方正楷体_GBK" w:hAnsi="方正楷体_GBK" w:cs="方正楷体_GBK"/>
          <w:bCs w:val="0"/>
          <w:color w:val="auto"/>
          <w:szCs w:val="32"/>
          <w:highlight w:val="none"/>
        </w:rPr>
        <w:t>）培育壮大生态经济发展新赛道</w:t>
      </w:r>
      <w:r>
        <w:rPr>
          <w:rFonts w:ascii="方正楷体_GBK" w:hAnsi="方正楷体_GBK" w:cs="方正楷体_GBK"/>
          <w:bCs w:val="0"/>
          <w:color w:val="auto"/>
          <w:szCs w:val="32"/>
          <w:highlight w:val="none"/>
        </w:rPr>
        <w:t>。</w:t>
      </w:r>
      <w:r>
        <w:rPr>
          <w:rFonts w:hint="default" w:ascii="Times New Roman" w:hAnsi="Times New Roman" w:eastAsia="方正仿宋_GBK"/>
          <w:bCs w:val="0"/>
          <w:color w:val="auto"/>
          <w:szCs w:val="32"/>
          <w:highlight w:val="none"/>
        </w:rPr>
        <w:t>统筹区域生态环境修复治理与价值赋能</w:t>
      </w:r>
      <w:r>
        <w:rPr>
          <w:rFonts w:ascii="Times New Roman" w:hAnsi="Times New Roman" w:eastAsia="方正仿宋_GBK"/>
          <w:bCs w:val="0"/>
          <w:color w:val="auto"/>
          <w:szCs w:val="32"/>
          <w:highlight w:val="none"/>
        </w:rPr>
        <w:t>。</w:t>
      </w:r>
      <w:r>
        <w:rPr>
          <w:rFonts w:hint="eastAsia" w:ascii="方正楷体_GBK" w:hAnsi="方正楷体_GBK" w:eastAsia="方正楷体_GBK" w:cs="方正楷体_GBK"/>
          <w:b w:val="0"/>
          <w:bCs w:val="0"/>
          <w:color w:val="auto"/>
          <w:szCs w:val="32"/>
          <w:highlight w:val="none"/>
        </w:rPr>
        <w:t>推进盐碱地改造，</w:t>
      </w:r>
      <w:r>
        <w:rPr>
          <w:rFonts w:ascii="Times New Roman" w:hAnsi="Times New Roman" w:eastAsia="方正仿宋_GBK"/>
          <w:bCs w:val="0"/>
          <w:color w:val="auto"/>
          <w:szCs w:val="32"/>
          <w:highlight w:val="none"/>
        </w:rPr>
        <w:t>谋划</w:t>
      </w:r>
      <w:r>
        <w:rPr>
          <w:rFonts w:hint="default" w:ascii="Times New Roman" w:hAnsi="Times New Roman" w:eastAsia="方正仿宋_GBK"/>
          <w:bCs w:val="0"/>
          <w:color w:val="auto"/>
          <w:szCs w:val="32"/>
          <w:highlight w:val="none"/>
        </w:rPr>
        <w:t>推进盐碱地改造</w:t>
      </w:r>
      <w:r>
        <w:rPr>
          <w:rFonts w:ascii="Times New Roman" w:hAnsi="Times New Roman" w:eastAsia="方正仿宋_GBK"/>
          <w:bCs w:val="0"/>
          <w:color w:val="auto"/>
          <w:szCs w:val="32"/>
          <w:highlight w:val="none"/>
        </w:rPr>
        <w:t>项目</w:t>
      </w:r>
      <w:r>
        <w:rPr>
          <w:rFonts w:hint="default" w:ascii="Times New Roman" w:hAnsi="Times New Roman" w:eastAsia="方正仿宋_GBK"/>
          <w:bCs w:val="0"/>
          <w:color w:val="auto"/>
          <w:szCs w:val="32"/>
          <w:highlight w:val="none"/>
        </w:rPr>
        <w:t>，计划新增和改善盐碱地等未利用地累计达到50万亩以上。</w:t>
      </w:r>
      <w:r>
        <w:rPr>
          <w:rFonts w:hint="eastAsia" w:ascii="方正楷体_GBK" w:hAnsi="方正楷体_GBK" w:eastAsia="方正楷体_GBK" w:cs="方正楷体_GBK"/>
          <w:b w:val="0"/>
          <w:bCs w:val="0"/>
          <w:color w:val="auto"/>
          <w:szCs w:val="32"/>
          <w:highlight w:val="none"/>
        </w:rPr>
        <w:t>发展灌区经济，</w:t>
      </w:r>
      <w:r>
        <w:rPr>
          <w:rFonts w:hint="default" w:ascii="Times New Roman" w:hAnsi="Times New Roman" w:eastAsia="方正仿宋_GBK"/>
          <w:bCs w:val="0"/>
          <w:color w:val="auto"/>
          <w:szCs w:val="32"/>
          <w:highlight w:val="none"/>
        </w:rPr>
        <w:t>系统实施水土改良、灌排配套提升工程，依托完善水系灌排网络培育特色灌区生态经济，发展稻渔共生、节水高效现代农业。</w:t>
      </w:r>
      <w:r>
        <w:rPr>
          <w:rFonts w:hint="eastAsia" w:ascii="方正楷体_GBK" w:hAnsi="方正楷体_GBK" w:eastAsia="方正楷体_GBK" w:cs="方正楷体_GBK"/>
          <w:b w:val="0"/>
          <w:bCs w:val="0"/>
          <w:color w:val="auto"/>
          <w:szCs w:val="32"/>
          <w:highlight w:val="none"/>
        </w:rPr>
        <w:t>拓展林草经济，</w:t>
      </w:r>
      <w:r>
        <w:rPr>
          <w:rFonts w:hint="default" w:ascii="Times New Roman" w:hAnsi="Times New Roman" w:eastAsia="方正仿宋_GBK"/>
          <w:bCs w:val="0"/>
          <w:color w:val="auto"/>
          <w:szCs w:val="32"/>
          <w:highlight w:val="none"/>
        </w:rPr>
        <w:t>深耕沙棘、文冠果、山里红等名优经济林基地，推进黄芪、防风等林下中药材规模化种植，做强林产品精深加工并打响本土“吉字号”生态品牌，依托市域湿地文旅资源培育生态康养新业态，力争2030年全市林草产业总产值突破80亿元。</w:t>
      </w:r>
      <w:r>
        <w:rPr>
          <w:rFonts w:hint="eastAsia" w:ascii="方正楷体_GBK" w:hAnsi="方正楷体_GBK" w:eastAsia="方正楷体_GBK" w:cs="方正楷体_GBK"/>
          <w:b w:val="0"/>
          <w:bCs w:val="0"/>
          <w:color w:val="auto"/>
          <w:szCs w:val="32"/>
          <w:highlight w:val="none"/>
        </w:rPr>
        <w:t>壮大绿电经济，</w:t>
      </w:r>
      <w:r>
        <w:rPr>
          <w:rFonts w:ascii="Times New Roman" w:hAnsi="Times New Roman" w:eastAsia="方正仿宋_GBK"/>
          <w:bCs w:val="0"/>
          <w:color w:val="auto"/>
          <w:szCs w:val="32"/>
          <w:highlight w:val="none"/>
        </w:rPr>
        <w:t>加快布局离网型绿电直连项目，重点推进绿色醇油、智算中心等场景化工程，构建灵活高效、就地消纳的离网供电体系，引导高载能产业就近利用富余新能源，实现绿电价值最大化。</w:t>
      </w:r>
      <w:r>
        <w:rPr>
          <w:rFonts w:hint="eastAsia" w:ascii="Times New Roman" w:hAnsi="Times New Roman" w:eastAsia="方正仿宋_GBK"/>
          <w:bCs w:val="0"/>
          <w:color w:val="auto"/>
          <w:szCs w:val="32"/>
          <w:highlight w:val="none"/>
          <w:lang w:eastAsia="zh-CN"/>
        </w:rPr>
        <w:t>（</w:t>
      </w:r>
      <w:r>
        <w:rPr>
          <w:rFonts w:hint="eastAsia" w:ascii="Times New Roman" w:hAnsi="Times New Roman" w:eastAsia="方正仿宋_GBK"/>
          <w:bCs w:val="0"/>
          <w:color w:val="auto"/>
          <w:szCs w:val="32"/>
          <w:highlight w:val="none"/>
          <w:lang w:val="en-US" w:eastAsia="zh-CN"/>
        </w:rPr>
        <w:t>市发改委、市自然资源局、市生态环境局、市住建局、市水利局、市林草局</w:t>
      </w:r>
      <w:r>
        <w:rPr>
          <w:rFonts w:hint="eastAsia" w:ascii="Times New Roman" w:hAnsi="Times New Roman" w:eastAsia="方正仿宋_GBK"/>
          <w:bCs w:val="0"/>
          <w:color w:val="auto"/>
          <w:szCs w:val="32"/>
          <w:highlight w:val="none"/>
        </w:rPr>
        <w:t>等部门按职责分工负责</w:t>
      </w:r>
      <w:r>
        <w:rPr>
          <w:rFonts w:hint="eastAsia" w:ascii="Times New Roman" w:hAnsi="Times New Roman" w:eastAsia="方正仿宋_GBK"/>
          <w:bCs w:val="0"/>
          <w:color w:val="auto"/>
          <w:szCs w:val="32"/>
          <w:highlight w:val="none"/>
          <w:lang w:eastAsia="zh-CN"/>
        </w:rPr>
        <w:t>）</w:t>
      </w:r>
    </w:p>
    <w:p w14:paraId="212B4C77">
      <w:pPr>
        <w:pStyle w:val="3"/>
        <w:keepNext w:val="0"/>
        <w:keepLines w:val="0"/>
        <w:pageBreakBefore w:val="0"/>
        <w:widowControl w:val="0"/>
        <w:kinsoku/>
        <w:wordWrap/>
        <w:overflowPunct/>
        <w:topLinePunct w:val="0"/>
        <w:autoSpaceDE/>
        <w:autoSpaceDN/>
        <w:bidi w:val="0"/>
        <w:adjustRightInd/>
        <w:snapToGrid/>
        <w:spacing w:before="0" w:after="0" w:line="578" w:lineRule="exact"/>
        <w:ind w:firstLine="640" w:firstLineChars="200"/>
        <w:jc w:val="left"/>
        <w:textAlignment w:val="auto"/>
        <w:rPr>
          <w:rFonts w:ascii="方正黑体_GBK" w:hAnsi="方正黑体_GBK" w:eastAsia="方正黑体_GBK" w:cs="方正黑体_GBK"/>
          <w:bCs w:val="0"/>
          <w:color w:val="auto"/>
          <w:highlight w:val="none"/>
        </w:rPr>
      </w:pPr>
      <w:bookmarkStart w:id="17" w:name="_Toc21996"/>
      <w:bookmarkStart w:id="18" w:name="_Toc28972"/>
      <w:r>
        <w:rPr>
          <w:rFonts w:hint="eastAsia" w:ascii="方正黑体_GBK" w:hAnsi="方正黑体_GBK" w:eastAsia="方正黑体_GBK" w:cs="方正黑体_GBK"/>
          <w:bCs w:val="0"/>
          <w:color w:val="auto"/>
          <w:highlight w:val="none"/>
          <w:lang w:val="en-US" w:eastAsia="zh-CN"/>
        </w:rPr>
        <w:t>七</w:t>
      </w:r>
      <w:r>
        <w:rPr>
          <w:rFonts w:hint="eastAsia" w:ascii="方正黑体_GBK" w:hAnsi="方正黑体_GBK" w:eastAsia="方正黑体_GBK" w:cs="方正黑体_GBK"/>
          <w:bCs w:val="0"/>
          <w:color w:val="auto"/>
          <w:highlight w:val="none"/>
        </w:rPr>
        <w:t>、</w:t>
      </w:r>
      <w:bookmarkEnd w:id="17"/>
      <w:r>
        <w:rPr>
          <w:rFonts w:hint="eastAsia" w:ascii="方正黑体_GBK" w:hAnsi="方正黑体_GBK" w:eastAsia="方正黑体_GBK" w:cs="方正黑体_GBK"/>
          <w:bCs w:val="0"/>
          <w:color w:val="auto"/>
          <w:highlight w:val="none"/>
        </w:rPr>
        <w:t>筑牢环境安全底板，守好西部生态安全防线迈上新台阶</w:t>
      </w:r>
      <w:bookmarkEnd w:id="18"/>
    </w:p>
    <w:p w14:paraId="5C9F2D6E">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78" w:lineRule="exact"/>
        <w:ind w:firstLine="640" w:firstLineChars="200"/>
        <w:textAlignment w:val="auto"/>
        <w:rPr>
          <w:rFonts w:hint="eastAsia" w:ascii="Times New Roman" w:hAnsi="Times New Roman" w:eastAsia="方正仿宋_GBK"/>
          <w:bCs w:val="0"/>
          <w:color w:val="auto"/>
          <w:szCs w:val="32"/>
          <w:highlight w:val="none"/>
          <w:lang w:eastAsia="zh-CN"/>
        </w:rPr>
      </w:pPr>
      <w:r>
        <w:rPr>
          <w:rFonts w:ascii="方正楷体_GBK" w:hAnsi="方正楷体_GBK" w:cs="方正楷体_GBK"/>
          <w:bCs w:val="0"/>
          <w:color w:val="auto"/>
          <w:szCs w:val="32"/>
          <w:highlight w:val="none"/>
        </w:rPr>
        <w:t>（二十四）高标准筑牢西部生态安全屏障。</w:t>
      </w:r>
      <w:r>
        <w:rPr>
          <w:rFonts w:hint="default" w:ascii="Times New Roman" w:hAnsi="Times New Roman" w:eastAsia="方正仿宋_GBK"/>
          <w:bCs w:val="0"/>
          <w:color w:val="auto"/>
          <w:szCs w:val="32"/>
          <w:highlight w:val="none"/>
        </w:rPr>
        <w:t>推进北方防沙带建设</w:t>
      </w:r>
      <w:r>
        <w:rPr>
          <w:rFonts w:ascii="Times New Roman" w:hAnsi="Times New Roman" w:eastAsia="方正仿宋_GBK"/>
          <w:bCs w:val="0"/>
          <w:color w:val="auto"/>
          <w:szCs w:val="32"/>
          <w:highlight w:val="none"/>
        </w:rPr>
        <w:t>，</w:t>
      </w:r>
      <w:r>
        <w:rPr>
          <w:rFonts w:hint="eastAsia" w:ascii="Times New Roman" w:hAnsi="Times New Roman" w:eastAsia="方正仿宋_GBK"/>
          <w:bCs w:val="0"/>
          <w:color w:val="auto"/>
          <w:szCs w:val="32"/>
          <w:highlight w:val="none"/>
          <w:lang w:eastAsia="zh-CN"/>
        </w:rPr>
        <w:t>深度融入“两核三屏三廊一网”生态安全格局，</w:t>
      </w:r>
      <w:r>
        <w:rPr>
          <w:rFonts w:hint="default" w:ascii="Times New Roman" w:hAnsi="Times New Roman" w:eastAsia="方正仿宋_GBK"/>
          <w:bCs w:val="0"/>
          <w:color w:val="auto"/>
          <w:szCs w:val="32"/>
          <w:highlight w:val="none"/>
        </w:rPr>
        <w:t>稳固西部生态安全屏障建设成效。完善以向海、莫莫格国家级自然保护区为主体、自然公园为补充的自然保护地体系</w:t>
      </w:r>
      <w:r>
        <w:rPr>
          <w:rFonts w:hint="eastAsia" w:ascii="Times New Roman" w:hAnsi="Times New Roman" w:eastAsia="方正仿宋_GBK"/>
          <w:bCs w:val="0"/>
          <w:color w:val="auto"/>
          <w:szCs w:val="32"/>
          <w:highlight w:val="none"/>
          <w:lang w:eastAsia="zh-CN"/>
        </w:rPr>
        <w:t>，</w:t>
      </w:r>
      <w:r>
        <w:rPr>
          <w:rFonts w:hint="eastAsia" w:ascii="Times New Roman" w:hAnsi="Times New Roman" w:eastAsia="方正仿宋_GBK"/>
          <w:bCs w:val="0"/>
          <w:color w:val="auto"/>
          <w:szCs w:val="32"/>
          <w:highlight w:val="none"/>
          <w:lang w:val="en-US" w:eastAsia="zh-CN"/>
        </w:rPr>
        <w:t>配合推动</w:t>
      </w:r>
      <w:r>
        <w:rPr>
          <w:rFonts w:hint="eastAsia" w:ascii="Times New Roman" w:hAnsi="Times New Roman" w:eastAsia="方正仿宋_GBK"/>
          <w:bCs w:val="0"/>
          <w:color w:val="auto"/>
          <w:szCs w:val="32"/>
          <w:highlight w:val="none"/>
          <w:lang w:eastAsia="zh-CN"/>
        </w:rPr>
        <w:t>松嫩鹤乡国家公园创建</w:t>
      </w:r>
      <w:r>
        <w:rPr>
          <w:rFonts w:hint="default" w:ascii="Times New Roman" w:hAnsi="Times New Roman" w:eastAsia="方正仿宋_GBK"/>
          <w:bCs w:val="0"/>
          <w:color w:val="auto"/>
          <w:szCs w:val="32"/>
          <w:highlight w:val="none"/>
          <w:lang w:eastAsia="zh-CN"/>
        </w:rPr>
        <w:t>。</w:t>
      </w:r>
      <w:r>
        <w:rPr>
          <w:rFonts w:hint="default" w:ascii="Times New Roman" w:hAnsi="Times New Roman" w:eastAsia="方正仿宋_GBK"/>
          <w:bCs w:val="0"/>
          <w:color w:val="auto"/>
          <w:szCs w:val="32"/>
          <w:highlight w:val="none"/>
        </w:rPr>
        <w:t>完善生态安全工作协调机制，加强生态安全风险调查评估、监测预警、应急响应能力建设。</w:t>
      </w:r>
      <w:r>
        <w:rPr>
          <w:rFonts w:hint="eastAsia" w:ascii="Times New Roman" w:hAnsi="Times New Roman" w:eastAsia="方正仿宋_GBK"/>
          <w:bCs w:val="0"/>
          <w:color w:val="auto"/>
          <w:szCs w:val="32"/>
          <w:highlight w:val="none"/>
          <w:lang w:eastAsia="zh-CN"/>
        </w:rPr>
        <w:t>（</w:t>
      </w:r>
      <w:r>
        <w:rPr>
          <w:rFonts w:hint="eastAsia" w:ascii="Times New Roman" w:hAnsi="Times New Roman" w:eastAsia="方正仿宋_GBK"/>
          <w:bCs w:val="0"/>
          <w:color w:val="auto"/>
          <w:szCs w:val="32"/>
          <w:highlight w:val="none"/>
          <w:lang w:val="en-US" w:eastAsia="zh-CN"/>
        </w:rPr>
        <w:t>市自然资源局、市生态环境局、市水利局</w:t>
      </w:r>
      <w:r>
        <w:rPr>
          <w:rFonts w:hint="default" w:ascii="Times New Roman" w:hAnsi="Times New Roman" w:eastAsia="方正仿宋_GBK"/>
          <w:bCs w:val="0"/>
          <w:color w:val="auto"/>
          <w:szCs w:val="32"/>
          <w:highlight w:val="none"/>
        </w:rPr>
        <w:t>等部门按职责分工负责</w:t>
      </w:r>
      <w:r>
        <w:rPr>
          <w:rFonts w:hint="eastAsia" w:ascii="Times New Roman" w:hAnsi="Times New Roman" w:eastAsia="方正仿宋_GBK"/>
          <w:bCs w:val="0"/>
          <w:color w:val="auto"/>
          <w:szCs w:val="32"/>
          <w:highlight w:val="none"/>
          <w:lang w:eastAsia="zh-CN"/>
        </w:rPr>
        <w:t>）</w:t>
      </w:r>
    </w:p>
    <w:p w14:paraId="38A89D89">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78" w:lineRule="exact"/>
        <w:ind w:firstLine="640" w:firstLineChars="200"/>
        <w:textAlignment w:val="auto"/>
        <w:rPr>
          <w:rFonts w:hint="eastAsia" w:ascii="Times New Roman" w:hAnsi="Times New Roman" w:eastAsia="方正仿宋_GBK"/>
          <w:bCs w:val="0"/>
          <w:color w:val="auto"/>
          <w:szCs w:val="32"/>
          <w:highlight w:val="none"/>
          <w:lang w:eastAsia="zh-CN"/>
        </w:rPr>
      </w:pPr>
      <w:r>
        <w:rPr>
          <w:rFonts w:hint="default" w:ascii="方正楷体_GBK" w:hAnsi="方正楷体_GBK" w:cs="方正楷体_GBK"/>
          <w:bCs w:val="0"/>
          <w:color w:val="auto"/>
          <w:szCs w:val="32"/>
          <w:highlight w:val="none"/>
        </w:rPr>
        <w:t>（二十五）严守核与辐射安全管控底线。</w:t>
      </w:r>
      <w:r>
        <w:rPr>
          <w:rFonts w:hint="default" w:ascii="Times New Roman" w:hAnsi="Times New Roman" w:eastAsia="方正仿宋_GBK"/>
          <w:bCs w:val="0"/>
          <w:color w:val="auto"/>
          <w:szCs w:val="32"/>
          <w:highlight w:val="none"/>
        </w:rPr>
        <w:t>有效发挥核安全协调机制作用，提升审评验证、监测预警、事故应急和监督管理能力。</w:t>
      </w:r>
      <w:r>
        <w:rPr>
          <w:rFonts w:hint="default" w:ascii="Times New Roman" w:hAnsi="Times New Roman" w:eastAsia="方正仿宋_GBK"/>
          <w:bCs w:val="0"/>
          <w:color w:val="auto"/>
          <w:szCs w:val="32"/>
          <w:highlight w:val="none"/>
          <w:lang w:val="en-US" w:eastAsia="zh-CN"/>
        </w:rPr>
        <w:t>压实核技术利用单位</w:t>
      </w:r>
      <w:r>
        <w:rPr>
          <w:rFonts w:hint="default" w:ascii="Times New Roman" w:hAnsi="Times New Roman" w:eastAsia="方正仿宋_GBK"/>
          <w:bCs w:val="0"/>
          <w:color w:val="auto"/>
          <w:szCs w:val="32"/>
          <w:highlight w:val="none"/>
        </w:rPr>
        <w:t>核与辐射安全</w:t>
      </w:r>
      <w:r>
        <w:rPr>
          <w:rFonts w:hint="default" w:ascii="Times New Roman" w:hAnsi="Times New Roman" w:eastAsia="方正仿宋_GBK"/>
          <w:bCs w:val="0"/>
          <w:color w:val="auto"/>
          <w:szCs w:val="32"/>
          <w:highlight w:val="none"/>
          <w:lang w:val="en-US" w:eastAsia="zh-CN"/>
        </w:rPr>
        <w:t>主体责任</w:t>
      </w:r>
      <w:r>
        <w:rPr>
          <w:rFonts w:hint="default" w:ascii="Times New Roman" w:hAnsi="Times New Roman" w:eastAsia="方正仿宋_GBK"/>
          <w:bCs w:val="0"/>
          <w:color w:val="auto"/>
          <w:szCs w:val="32"/>
          <w:highlight w:val="none"/>
        </w:rPr>
        <w:t>，</w:t>
      </w:r>
      <w:r>
        <w:rPr>
          <w:rFonts w:hint="default" w:ascii="Times New Roman" w:hAnsi="Times New Roman" w:eastAsia="方正仿宋_GBK"/>
          <w:bCs w:val="0"/>
          <w:color w:val="auto"/>
          <w:szCs w:val="32"/>
          <w:highlight w:val="none"/>
          <w:lang w:val="en-US" w:eastAsia="zh-CN"/>
        </w:rPr>
        <w:t>落实</w:t>
      </w:r>
      <w:r>
        <w:rPr>
          <w:rFonts w:hint="default" w:ascii="Times New Roman" w:hAnsi="Times New Roman" w:eastAsia="方正仿宋_GBK"/>
          <w:bCs w:val="0"/>
          <w:color w:val="auto"/>
          <w:szCs w:val="32"/>
          <w:highlight w:val="none"/>
        </w:rPr>
        <w:t>核技术应用单位分级分类监管。聚焦重点领域开展放射源、非密封放射性物质专项检查。</w:t>
      </w:r>
      <w:r>
        <w:rPr>
          <w:rFonts w:hint="default" w:ascii="Times New Roman" w:hAnsi="Times New Roman" w:eastAsia="方正仿宋_GBK"/>
          <w:bCs w:val="0"/>
          <w:color w:val="auto"/>
          <w:szCs w:val="32"/>
          <w:highlight w:val="none"/>
          <w:lang w:val="en-US" w:eastAsia="zh-CN"/>
        </w:rPr>
        <w:t>推动</w:t>
      </w:r>
      <w:r>
        <w:rPr>
          <w:rFonts w:hint="default" w:ascii="Times New Roman" w:hAnsi="Times New Roman" w:eastAsia="方正仿宋_GBK"/>
          <w:bCs w:val="0"/>
          <w:color w:val="auto"/>
          <w:szCs w:val="32"/>
          <w:highlight w:val="none"/>
        </w:rPr>
        <w:t>辐射监测</w:t>
      </w:r>
      <w:r>
        <w:rPr>
          <w:rFonts w:hint="default" w:ascii="Times New Roman" w:hAnsi="Times New Roman" w:eastAsia="方正仿宋_GBK"/>
          <w:bCs w:val="0"/>
          <w:color w:val="auto"/>
          <w:szCs w:val="32"/>
          <w:highlight w:val="none"/>
          <w:lang w:val="en-US" w:eastAsia="zh-CN"/>
        </w:rPr>
        <w:t>应急能力</w:t>
      </w:r>
      <w:r>
        <w:rPr>
          <w:rFonts w:hint="default" w:ascii="Times New Roman" w:hAnsi="Times New Roman" w:eastAsia="方正仿宋_GBK"/>
          <w:bCs w:val="0"/>
          <w:color w:val="auto"/>
          <w:szCs w:val="32"/>
          <w:highlight w:val="none"/>
        </w:rPr>
        <w:t>建设。到2030年，全市核技术利用单位辐射安全许可证持证率达100%。</w:t>
      </w:r>
      <w:r>
        <w:rPr>
          <w:rFonts w:hint="default" w:ascii="Times New Roman" w:hAnsi="Times New Roman" w:eastAsia="方正仿宋_GBK"/>
          <w:bCs w:val="0"/>
          <w:color w:val="auto"/>
          <w:szCs w:val="32"/>
          <w:highlight w:val="none"/>
          <w:lang w:eastAsia="zh-CN"/>
        </w:rPr>
        <w:t>（</w:t>
      </w:r>
      <w:r>
        <w:rPr>
          <w:rFonts w:hint="default" w:ascii="Times New Roman" w:hAnsi="Times New Roman" w:eastAsia="方正仿宋_GBK"/>
          <w:bCs w:val="0"/>
          <w:color w:val="auto"/>
          <w:szCs w:val="32"/>
          <w:highlight w:val="none"/>
          <w:lang w:val="en-US" w:eastAsia="zh-CN"/>
        </w:rPr>
        <w:t>市生态环境局、市财政局、市卫健局、市应急局</w:t>
      </w:r>
      <w:r>
        <w:rPr>
          <w:rFonts w:hint="default" w:ascii="Times New Roman" w:hAnsi="Times New Roman" w:eastAsia="方正仿宋_GBK"/>
          <w:bCs w:val="0"/>
          <w:color w:val="auto"/>
          <w:szCs w:val="32"/>
          <w:highlight w:val="none"/>
        </w:rPr>
        <w:t>等部门按职责分工负责</w:t>
      </w:r>
      <w:r>
        <w:rPr>
          <w:rFonts w:hint="default" w:ascii="Times New Roman" w:hAnsi="Times New Roman" w:eastAsia="方正仿宋_GBK"/>
          <w:bCs w:val="0"/>
          <w:color w:val="auto"/>
          <w:szCs w:val="32"/>
          <w:highlight w:val="none"/>
          <w:lang w:eastAsia="zh-CN"/>
        </w:rPr>
        <w:t>）</w:t>
      </w:r>
    </w:p>
    <w:p w14:paraId="534C2EC1">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78" w:lineRule="exact"/>
        <w:ind w:firstLine="640" w:firstLineChars="200"/>
        <w:textAlignment w:val="auto"/>
        <w:rPr>
          <w:rFonts w:hint="eastAsia" w:ascii="Times New Roman" w:hAnsi="Times New Roman" w:eastAsia="方正仿宋_GBK"/>
          <w:bCs w:val="0"/>
          <w:color w:val="auto"/>
          <w:szCs w:val="32"/>
          <w:highlight w:val="none"/>
          <w:lang w:eastAsia="zh-CN"/>
        </w:rPr>
      </w:pPr>
      <w:r>
        <w:rPr>
          <w:rFonts w:hint="default" w:ascii="方正楷体_GBK" w:hAnsi="方正楷体_GBK" w:cs="方正楷体_GBK"/>
          <w:bCs w:val="0"/>
          <w:color w:val="auto"/>
          <w:szCs w:val="32"/>
          <w:highlight w:val="none"/>
        </w:rPr>
        <w:t>（二十六）深化重金属污染风险防控治理</w:t>
      </w:r>
      <w:r>
        <w:rPr>
          <w:rFonts w:ascii="方正楷体_GBK" w:hAnsi="方正楷体_GBK" w:cs="方正楷体_GBK"/>
          <w:bCs w:val="0"/>
          <w:color w:val="auto"/>
          <w:szCs w:val="32"/>
          <w:highlight w:val="none"/>
        </w:rPr>
        <w:t>。</w:t>
      </w:r>
      <w:r>
        <w:rPr>
          <w:rFonts w:hint="default" w:ascii="Times New Roman" w:hAnsi="Times New Roman" w:eastAsia="方正仿宋_GBK"/>
          <w:bCs w:val="0"/>
          <w:color w:val="auto"/>
          <w:szCs w:val="32"/>
          <w:highlight w:val="none"/>
        </w:rPr>
        <w:t>推进重金属环境安全隐患排查与风险评估，“一企一策”系统治理高风险隐患问题。严格涉重金属重点行业环境准入，减少高风险矿石原料使用。推动重点企业重金属污染物排放自动监测，健全重金属环境风险长效防控机制。</w:t>
      </w:r>
      <w:r>
        <w:rPr>
          <w:rFonts w:hint="eastAsia" w:ascii="Times New Roman" w:hAnsi="Times New Roman" w:eastAsia="方正仿宋_GBK"/>
          <w:bCs w:val="0"/>
          <w:color w:val="auto"/>
          <w:szCs w:val="32"/>
          <w:highlight w:val="none"/>
          <w:lang w:eastAsia="zh-CN"/>
        </w:rPr>
        <w:t>（</w:t>
      </w:r>
      <w:r>
        <w:rPr>
          <w:rFonts w:hint="eastAsia" w:ascii="Times New Roman" w:hAnsi="Times New Roman" w:eastAsia="方正仿宋_GBK"/>
          <w:bCs w:val="0"/>
          <w:color w:val="auto"/>
          <w:szCs w:val="32"/>
          <w:highlight w:val="none"/>
          <w:lang w:val="en-US" w:eastAsia="zh-CN"/>
        </w:rPr>
        <w:t>市生态环境局、市应急管理局</w:t>
      </w:r>
      <w:r>
        <w:rPr>
          <w:rFonts w:hint="default" w:ascii="Times New Roman" w:hAnsi="Times New Roman" w:eastAsia="方正仿宋_GBK"/>
          <w:bCs w:val="0"/>
          <w:color w:val="auto"/>
          <w:szCs w:val="32"/>
          <w:highlight w:val="none"/>
        </w:rPr>
        <w:t>等部门按职责分工负责</w:t>
      </w:r>
      <w:r>
        <w:rPr>
          <w:rFonts w:hint="eastAsia" w:ascii="Times New Roman" w:hAnsi="Times New Roman" w:eastAsia="方正仿宋_GBK"/>
          <w:bCs w:val="0"/>
          <w:color w:val="auto"/>
          <w:szCs w:val="32"/>
          <w:highlight w:val="none"/>
          <w:lang w:eastAsia="zh-CN"/>
        </w:rPr>
        <w:t>）</w:t>
      </w:r>
    </w:p>
    <w:p w14:paraId="2EAD1A10">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78" w:lineRule="exact"/>
        <w:ind w:firstLine="640" w:firstLineChars="200"/>
        <w:textAlignment w:val="auto"/>
        <w:rPr>
          <w:rFonts w:hint="default"/>
        </w:rPr>
      </w:pPr>
      <w:r>
        <w:rPr>
          <w:rFonts w:hint="default" w:ascii="方正楷体_GBK" w:hAnsi="方正楷体_GBK" w:cs="方正楷体_GBK"/>
          <w:bCs w:val="0"/>
          <w:color w:val="auto"/>
          <w:szCs w:val="32"/>
          <w:highlight w:val="none"/>
        </w:rPr>
        <w:t>（二十七）健全突发生态环境风险应急体系</w:t>
      </w:r>
      <w:r>
        <w:rPr>
          <w:rFonts w:ascii="方正楷体_GBK" w:hAnsi="方正楷体_GBK" w:cs="方正楷体_GBK"/>
          <w:bCs w:val="0"/>
          <w:color w:val="auto"/>
          <w:szCs w:val="32"/>
          <w:highlight w:val="none"/>
        </w:rPr>
        <w:t>。</w:t>
      </w:r>
      <w:r>
        <w:rPr>
          <w:rFonts w:hint="default" w:ascii="Times New Roman" w:hAnsi="Times New Roman" w:eastAsia="方正仿宋_GBK"/>
          <w:bCs w:val="0"/>
          <w:color w:val="auto"/>
          <w:szCs w:val="32"/>
          <w:highlight w:val="none"/>
        </w:rPr>
        <w:t>完善生态环境应急预案管理体系，健全重大敏感事件分级处置响应机制。深化嫩江、洮儿河流域、二龙涛河“一河一策一图”应急响应方案建设。以大安、洮南两个省级化工园区为重点，完善园区</w:t>
      </w:r>
      <w:r>
        <w:rPr>
          <w:rFonts w:ascii="Times New Roman" w:hAnsi="Times New Roman" w:eastAsia="方正仿宋_GBK"/>
          <w:bCs w:val="0"/>
          <w:color w:val="auto"/>
          <w:szCs w:val="32"/>
          <w:highlight w:val="none"/>
        </w:rPr>
        <w:t>“三级防控”</w:t>
      </w:r>
      <w:r>
        <w:rPr>
          <w:rFonts w:hint="default" w:ascii="Times New Roman" w:hAnsi="Times New Roman" w:eastAsia="方正仿宋_GBK"/>
          <w:bCs w:val="0"/>
          <w:color w:val="auto"/>
          <w:szCs w:val="32"/>
          <w:highlight w:val="none"/>
        </w:rPr>
        <w:t>体系。完善跨区域、跨部门联动的突发生态环境事件应急响应机制。健全生态环境应急物资装备储备，推进“一张图”资源调度辅助决策。</w:t>
      </w:r>
      <w:r>
        <w:rPr>
          <w:rFonts w:hint="eastAsia" w:ascii="Times New Roman" w:hAnsi="Times New Roman" w:eastAsia="方正仿宋_GBK"/>
          <w:bCs w:val="0"/>
          <w:color w:val="auto"/>
          <w:szCs w:val="32"/>
          <w:highlight w:val="none"/>
          <w:lang w:eastAsia="zh-CN"/>
        </w:rPr>
        <w:t>（</w:t>
      </w:r>
      <w:r>
        <w:rPr>
          <w:rFonts w:hint="eastAsia" w:ascii="Times New Roman" w:hAnsi="Times New Roman" w:eastAsia="方正仿宋_GBK"/>
          <w:bCs w:val="0"/>
          <w:color w:val="auto"/>
          <w:szCs w:val="32"/>
          <w:highlight w:val="none"/>
          <w:lang w:val="en-US" w:eastAsia="zh-CN"/>
        </w:rPr>
        <w:t>市生态环境局、市应急管理局</w:t>
      </w:r>
      <w:r>
        <w:rPr>
          <w:rFonts w:hint="default" w:ascii="Times New Roman" w:hAnsi="Times New Roman" w:eastAsia="方正仿宋_GBK"/>
          <w:bCs w:val="0"/>
          <w:color w:val="auto"/>
          <w:szCs w:val="32"/>
          <w:highlight w:val="none"/>
        </w:rPr>
        <w:t>等部门按职责分工负责</w:t>
      </w:r>
      <w:r>
        <w:rPr>
          <w:rFonts w:hint="eastAsia" w:ascii="Times New Roman" w:hAnsi="Times New Roman" w:eastAsia="方正仿宋_GBK"/>
          <w:bCs w:val="0"/>
          <w:color w:val="auto"/>
          <w:szCs w:val="32"/>
          <w:highlight w:val="none"/>
          <w:lang w:eastAsia="zh-CN"/>
        </w:rPr>
        <w:t>）</w:t>
      </w:r>
    </w:p>
    <w:p w14:paraId="2CA3F343">
      <w:pPr>
        <w:pStyle w:val="3"/>
        <w:keepNext w:val="0"/>
        <w:keepLines w:val="0"/>
        <w:pageBreakBefore w:val="0"/>
        <w:widowControl w:val="0"/>
        <w:kinsoku/>
        <w:wordWrap/>
        <w:overflowPunct/>
        <w:topLinePunct w:val="0"/>
        <w:autoSpaceDE/>
        <w:autoSpaceDN/>
        <w:bidi w:val="0"/>
        <w:adjustRightInd/>
        <w:snapToGrid/>
        <w:spacing w:before="0" w:after="0" w:line="578" w:lineRule="exact"/>
        <w:ind w:firstLine="640" w:firstLineChars="200"/>
        <w:jc w:val="left"/>
        <w:textAlignment w:val="auto"/>
        <w:rPr>
          <w:rFonts w:ascii="方正黑体_GBK" w:hAnsi="方正黑体_GBK" w:eastAsia="方正黑体_GBK" w:cs="方正黑体_GBK"/>
          <w:bCs w:val="0"/>
          <w:color w:val="auto"/>
          <w:highlight w:val="none"/>
        </w:rPr>
      </w:pPr>
      <w:bookmarkStart w:id="19" w:name="_Toc26458"/>
      <w:bookmarkStart w:id="20" w:name="_Toc7794"/>
      <w:r>
        <w:rPr>
          <w:rFonts w:hint="eastAsia" w:ascii="方正黑体_GBK" w:hAnsi="方正黑体_GBK" w:eastAsia="方正黑体_GBK" w:cs="方正黑体_GBK"/>
          <w:bCs w:val="0"/>
          <w:color w:val="auto"/>
          <w:highlight w:val="none"/>
          <w:lang w:val="en-US" w:eastAsia="zh-CN"/>
        </w:rPr>
        <w:t>八</w:t>
      </w:r>
      <w:r>
        <w:rPr>
          <w:rFonts w:hint="eastAsia" w:ascii="方正黑体_GBK" w:hAnsi="方正黑体_GBK" w:eastAsia="方正黑体_GBK" w:cs="方正黑体_GBK"/>
          <w:bCs w:val="0"/>
          <w:color w:val="auto"/>
          <w:highlight w:val="none"/>
        </w:rPr>
        <w:t>、</w:t>
      </w:r>
      <w:bookmarkEnd w:id="19"/>
      <w:r>
        <w:rPr>
          <w:rFonts w:hint="eastAsia" w:ascii="方正黑体_GBK" w:hAnsi="方正黑体_GBK" w:eastAsia="方正黑体_GBK" w:cs="方正黑体_GBK"/>
          <w:bCs w:val="0"/>
          <w:color w:val="auto"/>
          <w:highlight w:val="none"/>
        </w:rPr>
        <w:t>持续推进数智赋能，提升生态环境治理现代化新水平</w:t>
      </w:r>
      <w:bookmarkEnd w:id="20"/>
    </w:p>
    <w:p w14:paraId="47B3884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78" w:lineRule="exact"/>
        <w:ind w:firstLine="640" w:firstLineChars="200"/>
        <w:textAlignment w:val="auto"/>
        <w:rPr>
          <w:rFonts w:hint="eastAsia" w:ascii="方正楷体_GBK" w:hAnsi="方正楷体_GBK" w:eastAsia="方正仿宋_GBK" w:cs="方正楷体_GBK"/>
          <w:bCs w:val="0"/>
          <w:color w:val="auto"/>
          <w:szCs w:val="32"/>
          <w:highlight w:val="none"/>
          <w:lang w:eastAsia="zh-CN"/>
        </w:rPr>
      </w:pPr>
      <w:r>
        <w:rPr>
          <w:rFonts w:ascii="方正楷体_GBK" w:hAnsi="方正楷体_GBK" w:cs="方正楷体_GBK"/>
          <w:bCs w:val="0"/>
          <w:color w:val="auto"/>
          <w:szCs w:val="32"/>
          <w:highlight w:val="none"/>
        </w:rPr>
        <w:t>（二十八）</w:t>
      </w:r>
      <w:r>
        <w:rPr>
          <w:rFonts w:hint="eastAsia" w:ascii="方正楷体_GBK" w:hAnsi="方正楷体_GBK" w:cs="方正楷体_GBK"/>
          <w:bCs w:val="0"/>
          <w:color w:val="auto"/>
          <w:szCs w:val="32"/>
          <w:highlight w:val="none"/>
        </w:rPr>
        <w:t>织密生态环境综合监测网络。</w:t>
      </w:r>
      <w:r>
        <w:rPr>
          <w:rFonts w:hint="default" w:ascii="Times New Roman" w:hAnsi="Times New Roman" w:eastAsia="方正仿宋_GBK"/>
          <w:bCs w:val="0"/>
          <w:color w:val="auto"/>
          <w:szCs w:val="32"/>
          <w:highlight w:val="none"/>
          <w:lang w:eastAsia="zh-CN"/>
        </w:rPr>
        <w:t>落实《生态环境监测条例》有关要求</w:t>
      </w:r>
      <w:r>
        <w:rPr>
          <w:rFonts w:hint="eastAsia" w:ascii="Times New Roman" w:hAnsi="Times New Roman" w:eastAsia="方正仿宋_GBK"/>
          <w:bCs w:val="0"/>
          <w:color w:val="auto"/>
          <w:szCs w:val="32"/>
          <w:highlight w:val="none"/>
          <w:lang w:eastAsia="zh-CN"/>
        </w:rPr>
        <w:t>，</w:t>
      </w:r>
      <w:r>
        <w:rPr>
          <w:rFonts w:hint="eastAsia" w:ascii="Times New Roman" w:hAnsi="Times New Roman" w:eastAsia="方正仿宋_GBK"/>
          <w:bCs w:val="0"/>
          <w:color w:val="auto"/>
          <w:szCs w:val="32"/>
          <w:highlight w:val="none"/>
          <w:lang w:val="en-US" w:eastAsia="zh-CN"/>
        </w:rPr>
        <w:t>进一步</w:t>
      </w:r>
      <w:r>
        <w:rPr>
          <w:rFonts w:hint="default" w:ascii="Times New Roman" w:hAnsi="Times New Roman" w:eastAsia="方正仿宋_GBK"/>
          <w:bCs w:val="0"/>
          <w:color w:val="auto"/>
          <w:szCs w:val="32"/>
          <w:highlight w:val="none"/>
          <w:lang w:eastAsia="zh"/>
        </w:rPr>
        <w:t>优化完善生态环境监测网络，做好国省控监测点位基础运维保障和人为干扰巡查工作。推进重点排污单位</w:t>
      </w:r>
      <w:r>
        <w:rPr>
          <w:rFonts w:hint="eastAsia" w:ascii="Times New Roman" w:hAnsi="Times New Roman" w:eastAsia="方正仿宋_GBK"/>
          <w:bCs w:val="0"/>
          <w:color w:val="auto"/>
          <w:szCs w:val="32"/>
          <w:highlight w:val="none"/>
          <w:lang w:val="en-US" w:eastAsia="zh-CN"/>
        </w:rPr>
        <w:t>自动监测</w:t>
      </w:r>
      <w:r>
        <w:rPr>
          <w:rFonts w:hint="default" w:ascii="Times New Roman" w:hAnsi="Times New Roman" w:eastAsia="方正仿宋_GBK"/>
          <w:bCs w:val="0"/>
          <w:color w:val="auto"/>
          <w:szCs w:val="32"/>
          <w:highlight w:val="none"/>
          <w:lang w:eastAsia="zh"/>
        </w:rPr>
        <w:t>设备应装尽装，应联尽联。督促排污单位在主要监测点位使用、安装视频监控，推动实现与生态环境部门联网。严格监测监管和质量控制，</w:t>
      </w:r>
      <w:r>
        <w:rPr>
          <w:rFonts w:hint="eastAsia" w:ascii="Times New Roman" w:hAnsi="Times New Roman" w:eastAsia="方正仿宋_GBK"/>
          <w:bCs w:val="0"/>
          <w:color w:val="auto"/>
          <w:szCs w:val="32"/>
          <w:highlight w:val="none"/>
          <w:lang w:val="en-US" w:eastAsia="zh-CN"/>
        </w:rPr>
        <w:t>实施</w:t>
      </w:r>
      <w:r>
        <w:rPr>
          <w:rFonts w:hint="eastAsia" w:ascii="Times New Roman" w:hAnsi="Times New Roman" w:eastAsia="方正仿宋_GBK"/>
          <w:bCs w:val="0"/>
          <w:color w:val="auto"/>
          <w:szCs w:val="32"/>
          <w:highlight w:val="none"/>
          <w:lang w:eastAsia="zh-CN"/>
        </w:rPr>
        <w:t>以非现场为主的自行监测常态化监管，</w:t>
      </w:r>
      <w:r>
        <w:rPr>
          <w:rFonts w:hint="default" w:ascii="Times New Roman" w:hAnsi="Times New Roman" w:eastAsia="方正仿宋_GBK"/>
          <w:bCs w:val="0"/>
          <w:color w:val="auto"/>
          <w:szCs w:val="32"/>
          <w:highlight w:val="none"/>
          <w:lang w:eastAsia="zh"/>
        </w:rPr>
        <w:t>加强监测质量监督管理</w:t>
      </w:r>
      <w:r>
        <w:rPr>
          <w:rFonts w:hint="eastAsia" w:ascii="Times New Roman" w:hAnsi="Times New Roman" w:eastAsia="方正仿宋_GBK"/>
          <w:bCs w:val="0"/>
          <w:color w:val="auto"/>
          <w:szCs w:val="32"/>
          <w:highlight w:val="none"/>
          <w:lang w:eastAsia="zh-CN"/>
        </w:rPr>
        <w:t>。</w:t>
      </w:r>
      <w:r>
        <w:rPr>
          <w:rFonts w:hint="default" w:ascii="Times New Roman" w:hAnsi="Times New Roman" w:eastAsia="方正仿宋_GBK"/>
          <w:bCs w:val="0"/>
          <w:color w:val="auto"/>
          <w:szCs w:val="32"/>
          <w:highlight w:val="none"/>
          <w:lang w:eastAsia="zh"/>
        </w:rPr>
        <w:t>持续推进污染源监督监测工作，补齐监测短板，提高监测基础能力</w:t>
      </w:r>
      <w:r>
        <w:rPr>
          <w:rFonts w:hint="eastAsia" w:ascii="Times New Roman" w:hAnsi="Times New Roman" w:eastAsia="方正仿宋_GBK"/>
          <w:bCs w:val="0"/>
          <w:color w:val="auto"/>
          <w:szCs w:val="32"/>
          <w:highlight w:val="none"/>
          <w:lang w:val="en-US" w:eastAsia="zh-CN"/>
        </w:rPr>
        <w:t>和</w:t>
      </w:r>
      <w:r>
        <w:rPr>
          <w:rFonts w:hint="default" w:ascii="Times New Roman" w:hAnsi="Times New Roman" w:eastAsia="方正仿宋_GBK"/>
          <w:bCs w:val="0"/>
          <w:color w:val="auto"/>
          <w:szCs w:val="32"/>
          <w:highlight w:val="none"/>
          <w:lang w:eastAsia="zh"/>
        </w:rPr>
        <w:t>应急监测能力</w:t>
      </w:r>
      <w:r>
        <w:rPr>
          <w:rFonts w:hint="eastAsia" w:ascii="Times New Roman" w:hAnsi="Times New Roman" w:eastAsia="方正仿宋_GBK"/>
          <w:bCs w:val="0"/>
          <w:color w:val="auto"/>
          <w:szCs w:val="32"/>
          <w:highlight w:val="none"/>
          <w:lang w:eastAsia="zh-CN"/>
        </w:rPr>
        <w:t>。（</w:t>
      </w:r>
      <w:r>
        <w:rPr>
          <w:rFonts w:hint="eastAsia" w:ascii="Times New Roman" w:hAnsi="Times New Roman" w:eastAsia="方正仿宋_GBK"/>
          <w:bCs w:val="0"/>
          <w:color w:val="auto"/>
          <w:szCs w:val="32"/>
          <w:highlight w:val="none"/>
          <w:lang w:val="en-US" w:eastAsia="zh-CN"/>
        </w:rPr>
        <w:t>市生态环境局、市场监督管理局、市财政局</w:t>
      </w:r>
      <w:r>
        <w:rPr>
          <w:rFonts w:hint="default" w:ascii="Times New Roman" w:hAnsi="Times New Roman" w:eastAsia="方正仿宋_GBK"/>
          <w:bCs w:val="0"/>
          <w:color w:val="auto"/>
          <w:szCs w:val="32"/>
          <w:highlight w:val="none"/>
          <w:lang w:eastAsia="zh"/>
        </w:rPr>
        <w:t>等部门按职责分工负责</w:t>
      </w:r>
      <w:r>
        <w:rPr>
          <w:rFonts w:hint="eastAsia" w:ascii="Times New Roman" w:hAnsi="Times New Roman" w:eastAsia="方正仿宋_GBK"/>
          <w:bCs w:val="0"/>
          <w:color w:val="auto"/>
          <w:szCs w:val="32"/>
          <w:highlight w:val="none"/>
          <w:lang w:eastAsia="zh-CN"/>
        </w:rPr>
        <w:t>）</w:t>
      </w:r>
    </w:p>
    <w:p w14:paraId="1E0C33E6">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78" w:lineRule="exact"/>
        <w:ind w:firstLine="640" w:firstLineChars="200"/>
        <w:textAlignment w:val="auto"/>
        <w:rPr>
          <w:rFonts w:hint="eastAsia" w:ascii="Times New Roman" w:hAnsi="Times New Roman" w:eastAsia="方正仿宋_GBK"/>
          <w:bCs w:val="0"/>
          <w:color w:val="auto"/>
          <w:szCs w:val="32"/>
          <w:highlight w:val="none"/>
          <w:lang w:eastAsia="zh-CN"/>
        </w:rPr>
      </w:pPr>
      <w:r>
        <w:rPr>
          <w:rFonts w:hint="default" w:ascii="方正楷体_GBK" w:hAnsi="方正楷体_GBK" w:cs="方正楷体_GBK"/>
          <w:bCs w:val="0"/>
          <w:color w:val="auto"/>
          <w:szCs w:val="32"/>
          <w:highlight w:val="none"/>
        </w:rPr>
        <w:t>（二十九）锻造规范化生态环境执法</w:t>
      </w:r>
      <w:r>
        <w:rPr>
          <w:rFonts w:hint="eastAsia" w:ascii="方正楷体_GBK" w:hAnsi="方正楷体_GBK" w:cs="方正楷体_GBK"/>
          <w:bCs w:val="0"/>
          <w:color w:val="auto"/>
          <w:szCs w:val="32"/>
          <w:highlight w:val="none"/>
          <w:lang w:val="en-US" w:eastAsia="zh-CN"/>
        </w:rPr>
        <w:t>能力</w:t>
      </w:r>
      <w:r>
        <w:rPr>
          <w:rFonts w:ascii="方正楷体_GBK" w:hAnsi="方正楷体_GBK" w:cs="方正楷体_GBK"/>
          <w:bCs w:val="0"/>
          <w:color w:val="auto"/>
          <w:szCs w:val="32"/>
          <w:highlight w:val="none"/>
        </w:rPr>
        <w:t>。</w:t>
      </w:r>
      <w:r>
        <w:rPr>
          <w:rFonts w:hint="default" w:ascii="Times New Roman" w:hAnsi="Times New Roman" w:eastAsia="方正仿宋_GBK"/>
          <w:bCs w:val="0"/>
          <w:color w:val="auto"/>
          <w:szCs w:val="32"/>
          <w:highlight w:val="none"/>
        </w:rPr>
        <w:t>深化执法能力规范化建设，加快补齐生态保护、</w:t>
      </w:r>
      <w:r>
        <w:rPr>
          <w:rFonts w:hint="eastAsia" w:ascii="Times New Roman" w:hAnsi="Times New Roman" w:eastAsia="方正仿宋_GBK"/>
          <w:bCs w:val="0"/>
          <w:color w:val="auto"/>
          <w:szCs w:val="32"/>
          <w:highlight w:val="none"/>
          <w:lang w:val="en-US" w:eastAsia="zh-CN"/>
        </w:rPr>
        <w:t>适应</w:t>
      </w:r>
      <w:r>
        <w:rPr>
          <w:rFonts w:hint="default" w:ascii="Times New Roman" w:hAnsi="Times New Roman" w:eastAsia="方正仿宋_GBK"/>
          <w:bCs w:val="0"/>
          <w:color w:val="auto"/>
          <w:szCs w:val="32"/>
          <w:highlight w:val="none"/>
        </w:rPr>
        <w:t>气候变化、新污染物、碳排放等领域执法能力短板。深化分级分类执法监管，推动跨区域、跨流域联合执法。</w:t>
      </w:r>
      <w:r>
        <w:rPr>
          <w:rFonts w:hint="default" w:ascii="Times New Roman" w:hAnsi="Times New Roman" w:eastAsia="方正仿宋_GBK"/>
          <w:bCs w:val="0"/>
          <w:color w:val="auto"/>
          <w:szCs w:val="32"/>
          <w:highlight w:val="none"/>
          <w:lang w:eastAsia="zh"/>
        </w:rPr>
        <w:t>充分运用</w:t>
      </w:r>
      <w:r>
        <w:rPr>
          <w:rFonts w:hint="default" w:ascii="Times New Roman" w:hAnsi="Times New Roman" w:eastAsia="方正仿宋_GBK"/>
          <w:bCs w:val="0"/>
          <w:color w:val="auto"/>
          <w:szCs w:val="32"/>
          <w:highlight w:val="none"/>
        </w:rPr>
        <w:t>生态环境智慧执法平台，形成市、县两级现场与非现场违法问题线索共享机制。加强人工智能、便携式执法设备等智慧化装备应用，提升非现场执法水平。</w:t>
      </w:r>
      <w:r>
        <w:rPr>
          <w:rFonts w:hint="eastAsia" w:ascii="Times New Roman" w:hAnsi="Times New Roman" w:eastAsia="方正仿宋_GBK"/>
          <w:bCs w:val="0"/>
          <w:color w:val="auto"/>
          <w:szCs w:val="32"/>
          <w:highlight w:val="none"/>
          <w:lang w:eastAsia="zh-CN"/>
        </w:rPr>
        <w:t>（</w:t>
      </w:r>
      <w:r>
        <w:rPr>
          <w:rFonts w:hint="eastAsia" w:ascii="Times New Roman" w:hAnsi="Times New Roman" w:eastAsia="方正仿宋_GBK"/>
          <w:bCs w:val="0"/>
          <w:color w:val="auto"/>
          <w:szCs w:val="32"/>
          <w:highlight w:val="none"/>
          <w:lang w:val="en-US" w:eastAsia="zh-CN"/>
        </w:rPr>
        <w:t>市公安局、市生态环境局</w:t>
      </w:r>
      <w:r>
        <w:rPr>
          <w:rFonts w:hint="default" w:ascii="Times New Roman" w:hAnsi="Times New Roman" w:eastAsia="方正仿宋_GBK"/>
          <w:bCs w:val="0"/>
          <w:color w:val="auto"/>
          <w:szCs w:val="32"/>
          <w:highlight w:val="none"/>
        </w:rPr>
        <w:t>等部门按职责分工负责</w:t>
      </w:r>
      <w:r>
        <w:rPr>
          <w:rFonts w:hint="eastAsia" w:ascii="Times New Roman" w:hAnsi="Times New Roman" w:eastAsia="方正仿宋_GBK"/>
          <w:bCs w:val="0"/>
          <w:color w:val="auto"/>
          <w:szCs w:val="32"/>
          <w:highlight w:val="none"/>
          <w:lang w:eastAsia="zh-CN"/>
        </w:rPr>
        <w:t>）</w:t>
      </w:r>
    </w:p>
    <w:p w14:paraId="279761AA">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78" w:lineRule="exact"/>
        <w:ind w:firstLine="640" w:firstLineChars="200"/>
        <w:textAlignment w:val="auto"/>
        <w:rPr>
          <w:rFonts w:hint="eastAsia" w:ascii="Times New Roman" w:hAnsi="Times New Roman" w:eastAsia="方正仿宋_GBK"/>
          <w:bCs w:val="0"/>
          <w:color w:val="auto"/>
          <w:szCs w:val="32"/>
          <w:highlight w:val="none"/>
          <w:lang w:eastAsia="zh-CN"/>
        </w:rPr>
      </w:pPr>
      <w:r>
        <w:rPr>
          <w:rFonts w:hint="default" w:ascii="方正楷体_GBK" w:hAnsi="方正楷体_GBK" w:cs="方正楷体_GBK"/>
          <w:bCs w:val="0"/>
          <w:color w:val="auto"/>
          <w:szCs w:val="32"/>
          <w:highlight w:val="none"/>
        </w:rPr>
        <w:t>（三十）加快生态环境数字化智慧转型</w:t>
      </w:r>
      <w:r>
        <w:rPr>
          <w:rFonts w:ascii="方正楷体_GBK" w:hAnsi="方正楷体_GBK" w:cs="方正楷体_GBK"/>
          <w:bCs w:val="0"/>
          <w:color w:val="auto"/>
          <w:szCs w:val="32"/>
          <w:highlight w:val="none"/>
        </w:rPr>
        <w:t>。</w:t>
      </w:r>
      <w:r>
        <w:rPr>
          <w:rFonts w:ascii="Times New Roman" w:hAnsi="Times New Roman" w:eastAsia="方正仿宋_GBK"/>
          <w:bCs w:val="0"/>
          <w:color w:val="auto"/>
          <w:szCs w:val="32"/>
          <w:highlight w:val="none"/>
        </w:rPr>
        <w:t>对接“数字白城”建设总体框架，</w:t>
      </w:r>
      <w:r>
        <w:rPr>
          <w:rFonts w:hint="default" w:ascii="Times New Roman" w:hAnsi="Times New Roman" w:eastAsia="方正仿宋_GBK"/>
          <w:bCs w:val="0"/>
          <w:color w:val="auto"/>
          <w:szCs w:val="32"/>
          <w:highlight w:val="none"/>
        </w:rPr>
        <w:t>完善生态环境大数据平台建设，搭建统一生态环境数据底座。依托AI大模型等工具，构建“智能发现</w:t>
      </w:r>
      <w:r>
        <w:rPr>
          <w:rFonts w:ascii="Times New Roman" w:hAnsi="Times New Roman" w:eastAsia="方正仿宋_GBK"/>
          <w:bCs w:val="0"/>
          <w:color w:val="auto"/>
          <w:szCs w:val="32"/>
          <w:highlight w:val="none"/>
        </w:rPr>
        <w:t>－</w:t>
      </w:r>
      <w:r>
        <w:rPr>
          <w:rFonts w:hint="default" w:ascii="Times New Roman" w:hAnsi="Times New Roman" w:eastAsia="方正仿宋_GBK"/>
          <w:bCs w:val="0"/>
          <w:color w:val="auto"/>
          <w:szCs w:val="32"/>
          <w:highlight w:val="none"/>
        </w:rPr>
        <w:t>快速研判</w:t>
      </w:r>
      <w:r>
        <w:rPr>
          <w:rFonts w:ascii="Times New Roman" w:hAnsi="Times New Roman" w:eastAsia="方正仿宋_GBK"/>
          <w:bCs w:val="0"/>
          <w:color w:val="auto"/>
          <w:szCs w:val="32"/>
          <w:highlight w:val="none"/>
        </w:rPr>
        <w:t>－</w:t>
      </w:r>
      <w:r>
        <w:rPr>
          <w:rFonts w:hint="default" w:ascii="Times New Roman" w:hAnsi="Times New Roman" w:eastAsia="方正仿宋_GBK"/>
          <w:bCs w:val="0"/>
          <w:color w:val="auto"/>
          <w:szCs w:val="32"/>
          <w:highlight w:val="none"/>
        </w:rPr>
        <w:t>闭环处置”的环境治理快速响应体系，实现全时段、全过程、全链条监管，打造生态环境业务综合集成、闭环管理的数字化治理体系，全面提升生态保护、污染治理、环境监管、科学决策管理水平。</w:t>
      </w:r>
      <w:r>
        <w:rPr>
          <w:rFonts w:hint="eastAsia" w:ascii="Times New Roman" w:hAnsi="Times New Roman" w:eastAsia="方正仿宋_GBK"/>
          <w:bCs w:val="0"/>
          <w:color w:val="auto"/>
          <w:szCs w:val="32"/>
          <w:highlight w:val="none"/>
          <w:lang w:eastAsia="zh-CN"/>
        </w:rPr>
        <w:t>（</w:t>
      </w:r>
      <w:r>
        <w:rPr>
          <w:rFonts w:hint="eastAsia" w:ascii="Times New Roman" w:hAnsi="Times New Roman" w:eastAsia="方正仿宋_GBK"/>
          <w:bCs w:val="0"/>
          <w:color w:val="auto"/>
          <w:szCs w:val="32"/>
          <w:highlight w:val="none"/>
          <w:lang w:val="en-US" w:eastAsia="zh-CN"/>
        </w:rPr>
        <w:t>市生态环境局</w:t>
      </w:r>
      <w:r>
        <w:rPr>
          <w:rFonts w:hint="default" w:ascii="Times New Roman" w:hAnsi="Times New Roman" w:eastAsia="方正仿宋_GBK"/>
          <w:bCs w:val="0"/>
          <w:color w:val="auto"/>
          <w:szCs w:val="32"/>
          <w:highlight w:val="none"/>
        </w:rPr>
        <w:t>负责</w:t>
      </w:r>
      <w:r>
        <w:rPr>
          <w:rFonts w:hint="eastAsia" w:ascii="Times New Roman" w:hAnsi="Times New Roman" w:eastAsia="方正仿宋_GBK"/>
          <w:bCs w:val="0"/>
          <w:color w:val="auto"/>
          <w:szCs w:val="32"/>
          <w:highlight w:val="none"/>
          <w:lang w:eastAsia="zh-CN"/>
        </w:rPr>
        <w:t>）</w:t>
      </w:r>
    </w:p>
    <w:p w14:paraId="07A2E4C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78" w:lineRule="exact"/>
        <w:ind w:firstLine="640" w:firstLineChars="200"/>
        <w:textAlignment w:val="auto"/>
        <w:rPr>
          <w:rFonts w:hint="eastAsia" w:ascii="Times New Roman" w:hAnsi="Times New Roman" w:eastAsia="方正仿宋_GBK"/>
          <w:bCs w:val="0"/>
          <w:color w:val="auto"/>
          <w:szCs w:val="32"/>
          <w:highlight w:val="none"/>
          <w:lang w:eastAsia="zh-CN"/>
        </w:rPr>
      </w:pPr>
      <w:r>
        <w:rPr>
          <w:rFonts w:hint="default" w:ascii="方正楷体_GBK" w:hAnsi="方正楷体_GBK" w:cs="方正楷体_GBK"/>
          <w:bCs w:val="0"/>
          <w:color w:val="auto"/>
          <w:szCs w:val="32"/>
          <w:highlight w:val="none"/>
        </w:rPr>
        <w:t>（三十一）建强高素质生态环保人才队伍</w:t>
      </w:r>
      <w:r>
        <w:rPr>
          <w:rFonts w:ascii="方正楷体_GBK" w:hAnsi="方正楷体_GBK" w:cs="方正楷体_GBK"/>
          <w:bCs w:val="0"/>
          <w:color w:val="auto"/>
          <w:szCs w:val="32"/>
          <w:highlight w:val="none"/>
        </w:rPr>
        <w:t>。</w:t>
      </w:r>
      <w:r>
        <w:rPr>
          <w:rFonts w:hint="default" w:ascii="Times New Roman" w:hAnsi="Times New Roman" w:eastAsia="方正仿宋_GBK"/>
          <w:bCs w:val="0"/>
          <w:color w:val="auto"/>
          <w:szCs w:val="32"/>
          <w:highlight w:val="none"/>
        </w:rPr>
        <w:t>加强</w:t>
      </w:r>
      <w:r>
        <w:rPr>
          <w:rFonts w:hint="eastAsia" w:ascii="Times New Roman" w:hAnsi="Times New Roman" w:eastAsia="方正仿宋_GBK"/>
          <w:bCs w:val="0"/>
          <w:color w:val="auto"/>
          <w:szCs w:val="32"/>
          <w:highlight w:val="none"/>
          <w:lang w:val="en-US" w:eastAsia="zh-CN"/>
        </w:rPr>
        <w:t>县级</w:t>
      </w:r>
      <w:r>
        <w:rPr>
          <w:rFonts w:hint="default" w:ascii="Times New Roman" w:hAnsi="Times New Roman" w:eastAsia="方正仿宋_GBK"/>
          <w:bCs w:val="0"/>
          <w:color w:val="auto"/>
          <w:szCs w:val="32"/>
          <w:highlight w:val="none"/>
        </w:rPr>
        <w:t>生态环境监测队伍建设，完善生态环境监测工作体系</w:t>
      </w:r>
      <w:r>
        <w:rPr>
          <w:rFonts w:hint="eastAsia" w:ascii="Times New Roman" w:hAnsi="Times New Roman" w:eastAsia="方正仿宋_GBK"/>
          <w:bCs w:val="0"/>
          <w:color w:val="auto"/>
          <w:szCs w:val="32"/>
          <w:highlight w:val="none"/>
          <w:lang w:eastAsia="zh-CN"/>
        </w:rPr>
        <w:t>，</w:t>
      </w:r>
      <w:r>
        <w:rPr>
          <w:rFonts w:hint="eastAsia" w:ascii="Times New Roman" w:hAnsi="Times New Roman" w:eastAsia="方正仿宋_GBK"/>
          <w:bCs w:val="0"/>
          <w:color w:val="auto"/>
          <w:szCs w:val="32"/>
          <w:highlight w:val="none"/>
          <w:lang w:val="en-US" w:eastAsia="zh-CN"/>
        </w:rPr>
        <w:t>落实省及驻市生态环境监测机构与市县生态环境系统的协调配合机制</w:t>
      </w:r>
      <w:r>
        <w:rPr>
          <w:rFonts w:hint="default" w:ascii="Times New Roman" w:hAnsi="Times New Roman" w:eastAsia="方正仿宋_GBK"/>
          <w:bCs w:val="0"/>
          <w:color w:val="auto"/>
          <w:szCs w:val="32"/>
          <w:highlight w:val="none"/>
          <w:lang w:val="en-US" w:eastAsia="zh-CN"/>
        </w:rPr>
        <w:t>。</w:t>
      </w:r>
      <w:r>
        <w:rPr>
          <w:rFonts w:hint="default" w:ascii="Times New Roman" w:hAnsi="Times New Roman" w:eastAsia="方正仿宋_GBK"/>
          <w:bCs w:val="0"/>
          <w:color w:val="auto"/>
          <w:szCs w:val="32"/>
          <w:highlight w:val="none"/>
        </w:rPr>
        <w:t>配齐配强市县两级执法力量，持续提升执法队伍“四化”建设水平，逐步提高复合型执法人才比例。强化基层执法队伍能力建设，升级实训体系，开展执法大练兵。加强应急人才队伍能力建设，加强生态环境科技创新人才和高层次人才培育。</w:t>
      </w:r>
      <w:r>
        <w:rPr>
          <w:rFonts w:hint="eastAsia" w:ascii="Times New Roman" w:hAnsi="Times New Roman" w:eastAsia="方正仿宋_GBK"/>
          <w:bCs w:val="0"/>
          <w:color w:val="auto"/>
          <w:szCs w:val="32"/>
          <w:highlight w:val="none"/>
          <w:lang w:eastAsia="zh-CN"/>
        </w:rPr>
        <w:t>（</w:t>
      </w:r>
      <w:r>
        <w:rPr>
          <w:rFonts w:hint="eastAsia" w:ascii="Times New Roman" w:hAnsi="Times New Roman" w:eastAsia="方正仿宋_GBK"/>
          <w:bCs w:val="0"/>
          <w:color w:val="auto"/>
          <w:szCs w:val="32"/>
          <w:highlight w:val="none"/>
          <w:lang w:val="en-US" w:eastAsia="zh-CN"/>
        </w:rPr>
        <w:t>市生态环境局</w:t>
      </w:r>
      <w:r>
        <w:rPr>
          <w:rFonts w:hint="default" w:ascii="Times New Roman" w:hAnsi="Times New Roman" w:eastAsia="方正仿宋_GBK"/>
          <w:bCs w:val="0"/>
          <w:color w:val="auto"/>
          <w:szCs w:val="32"/>
          <w:highlight w:val="none"/>
        </w:rPr>
        <w:t>负责</w:t>
      </w:r>
      <w:r>
        <w:rPr>
          <w:rFonts w:hint="eastAsia" w:ascii="Times New Roman" w:hAnsi="Times New Roman" w:eastAsia="方正仿宋_GBK"/>
          <w:bCs w:val="0"/>
          <w:color w:val="auto"/>
          <w:szCs w:val="32"/>
          <w:highlight w:val="none"/>
          <w:lang w:eastAsia="zh-CN"/>
        </w:rPr>
        <w:t>）</w:t>
      </w:r>
    </w:p>
    <w:p w14:paraId="2435D927">
      <w:pPr>
        <w:pStyle w:val="3"/>
        <w:keepNext w:val="0"/>
        <w:keepLines w:val="0"/>
        <w:pageBreakBefore w:val="0"/>
        <w:widowControl w:val="0"/>
        <w:kinsoku/>
        <w:wordWrap/>
        <w:overflowPunct/>
        <w:topLinePunct w:val="0"/>
        <w:autoSpaceDE/>
        <w:autoSpaceDN/>
        <w:bidi w:val="0"/>
        <w:adjustRightInd/>
        <w:snapToGrid/>
        <w:spacing w:before="0" w:after="0" w:line="578" w:lineRule="exact"/>
        <w:ind w:firstLine="640" w:firstLineChars="200"/>
        <w:jc w:val="left"/>
        <w:textAlignment w:val="auto"/>
        <w:rPr>
          <w:rFonts w:ascii="方正黑体_GBK" w:hAnsi="方正黑体_GBK" w:eastAsia="方正黑体_GBK" w:cs="方正黑体_GBK"/>
          <w:bCs w:val="0"/>
          <w:color w:val="auto"/>
          <w:highlight w:val="none"/>
        </w:rPr>
      </w:pPr>
      <w:bookmarkStart w:id="21" w:name="_Toc30914"/>
      <w:bookmarkStart w:id="22" w:name="_Toc11773"/>
      <w:r>
        <w:rPr>
          <w:rFonts w:hint="eastAsia" w:ascii="方正黑体_GBK" w:hAnsi="方正黑体_GBK" w:eastAsia="方正黑体_GBK" w:cs="方正黑体_GBK"/>
          <w:bCs w:val="0"/>
          <w:color w:val="auto"/>
          <w:highlight w:val="none"/>
          <w:lang w:val="en-US" w:eastAsia="zh-CN"/>
        </w:rPr>
        <w:t>九</w:t>
      </w:r>
      <w:r>
        <w:rPr>
          <w:rFonts w:hint="eastAsia" w:ascii="方正黑体_GBK" w:hAnsi="方正黑体_GBK" w:eastAsia="方正黑体_GBK" w:cs="方正黑体_GBK"/>
          <w:bCs w:val="0"/>
          <w:color w:val="auto"/>
          <w:highlight w:val="none"/>
        </w:rPr>
        <w:t>、</w:t>
      </w:r>
      <w:bookmarkEnd w:id="21"/>
      <w:r>
        <w:rPr>
          <w:rFonts w:hint="eastAsia" w:ascii="方正黑体_GBK" w:hAnsi="方正黑体_GBK" w:eastAsia="方正黑体_GBK" w:cs="方正黑体_GBK"/>
          <w:bCs w:val="0"/>
          <w:color w:val="auto"/>
          <w:highlight w:val="none"/>
        </w:rPr>
        <w:t>创新体制机制，推动美丽白城建设机制实现新优化</w:t>
      </w:r>
      <w:bookmarkEnd w:id="22"/>
    </w:p>
    <w:p w14:paraId="1704519A">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78" w:lineRule="exact"/>
        <w:ind w:firstLine="640" w:firstLineChars="200"/>
        <w:textAlignment w:val="auto"/>
        <w:rPr>
          <w:rFonts w:hint="eastAsia" w:ascii="Times New Roman" w:hAnsi="Times New Roman" w:eastAsia="方正仿宋_GBK"/>
          <w:bCs w:val="0"/>
          <w:color w:val="auto"/>
          <w:szCs w:val="32"/>
          <w:highlight w:val="none"/>
          <w:lang w:eastAsia="zh-CN"/>
        </w:rPr>
      </w:pPr>
      <w:r>
        <w:rPr>
          <w:rFonts w:ascii="方正楷体_GBK" w:hAnsi="方正楷体_GBK" w:cs="方正楷体_GBK"/>
          <w:bCs w:val="0"/>
          <w:color w:val="auto"/>
          <w:szCs w:val="32"/>
          <w:highlight w:val="none"/>
        </w:rPr>
        <w:t>（三十二）完善地方生态环境制度法治保障。</w:t>
      </w:r>
      <w:r>
        <w:rPr>
          <w:rFonts w:hint="default" w:ascii="Times New Roman" w:hAnsi="Times New Roman" w:eastAsia="方正仿宋_GBK"/>
          <w:bCs w:val="0"/>
          <w:color w:val="auto"/>
          <w:szCs w:val="32"/>
          <w:highlight w:val="none"/>
        </w:rPr>
        <w:t>落实生态环境法典，强化跨部门执法司法协同联动，健全案件移送、联合研判、案例共享、行刑衔接等机制，强化检察公益诉讼支持配合，推动刑事追诉、民事赔偿、行政履职有效衔接。</w:t>
      </w:r>
      <w:r>
        <w:rPr>
          <w:rFonts w:hint="eastAsia" w:ascii="Times New Roman" w:hAnsi="Times New Roman" w:eastAsia="方正仿宋_GBK"/>
          <w:bCs w:val="0"/>
          <w:color w:val="auto"/>
          <w:szCs w:val="32"/>
          <w:highlight w:val="none"/>
          <w:lang w:val="en-US" w:eastAsia="zh-CN"/>
        </w:rPr>
        <w:t>落实</w:t>
      </w:r>
      <w:r>
        <w:rPr>
          <w:rFonts w:hint="default" w:ascii="Times New Roman" w:hAnsi="Times New Roman" w:eastAsia="方正仿宋_GBK"/>
          <w:bCs w:val="0"/>
          <w:color w:val="auto"/>
          <w:szCs w:val="32"/>
          <w:highlight w:val="none"/>
        </w:rPr>
        <w:t>生态环境损害赔偿制度，健全生态环境损害赔偿线索筛查、调查评估、磋商、诉讼全流程工作机制</w:t>
      </w:r>
      <w:r>
        <w:rPr>
          <w:rFonts w:hint="eastAsia" w:ascii="Times New Roman" w:hAnsi="Times New Roman" w:eastAsia="方正仿宋_GBK"/>
          <w:bCs w:val="0"/>
          <w:color w:val="auto"/>
          <w:szCs w:val="32"/>
          <w:highlight w:val="none"/>
          <w:lang w:eastAsia="zh-CN"/>
        </w:rPr>
        <w:t>，</w:t>
      </w:r>
      <w:r>
        <w:rPr>
          <w:rFonts w:hint="default" w:ascii="Times New Roman" w:hAnsi="Times New Roman" w:eastAsia="方正仿宋_GBK"/>
          <w:bCs w:val="0"/>
          <w:color w:val="auto"/>
          <w:szCs w:val="32"/>
          <w:highlight w:val="none"/>
        </w:rPr>
        <w:t>鼓励因地制宜建设生态环境损害赔偿修复</w:t>
      </w:r>
      <w:r>
        <w:rPr>
          <w:rFonts w:hint="eastAsia" w:ascii="Times New Roman" w:hAnsi="Times New Roman" w:eastAsia="方正仿宋_GBK"/>
          <w:bCs w:val="0"/>
          <w:color w:val="auto"/>
          <w:szCs w:val="32"/>
          <w:highlight w:val="none"/>
          <w:lang w:val="en-US" w:eastAsia="zh-CN"/>
        </w:rPr>
        <w:t>区域，提高生态环境损害修复综合效应</w:t>
      </w:r>
      <w:r>
        <w:rPr>
          <w:rFonts w:hint="default" w:ascii="Times New Roman" w:hAnsi="Times New Roman" w:eastAsia="方正仿宋_GBK"/>
          <w:bCs w:val="0"/>
          <w:color w:val="auto"/>
          <w:szCs w:val="32"/>
          <w:highlight w:val="none"/>
        </w:rPr>
        <w:t>。</w:t>
      </w:r>
      <w:r>
        <w:rPr>
          <w:rFonts w:hint="eastAsia" w:ascii="Times New Roman" w:hAnsi="Times New Roman" w:eastAsia="方正仿宋_GBK"/>
          <w:bCs w:val="0"/>
          <w:color w:val="auto"/>
          <w:szCs w:val="32"/>
          <w:highlight w:val="none"/>
          <w:lang w:eastAsia="zh-CN"/>
        </w:rPr>
        <w:t>（</w:t>
      </w:r>
      <w:r>
        <w:rPr>
          <w:rFonts w:hint="eastAsia" w:ascii="Times New Roman" w:hAnsi="Times New Roman" w:eastAsia="方正仿宋_GBK"/>
          <w:bCs w:val="0"/>
          <w:color w:val="auto"/>
          <w:szCs w:val="32"/>
          <w:highlight w:val="none"/>
          <w:lang w:val="en-US" w:eastAsia="zh-CN"/>
        </w:rPr>
        <w:t>市人民检察院、市司法局、市生态环境局</w:t>
      </w:r>
      <w:r>
        <w:rPr>
          <w:rFonts w:hint="default" w:ascii="Times New Roman" w:hAnsi="Times New Roman" w:eastAsia="方正仿宋_GBK"/>
          <w:bCs w:val="0"/>
          <w:color w:val="auto"/>
          <w:szCs w:val="32"/>
          <w:highlight w:val="none"/>
        </w:rPr>
        <w:t>等部门按职责分工负责</w:t>
      </w:r>
      <w:r>
        <w:rPr>
          <w:rFonts w:hint="eastAsia" w:ascii="Times New Roman" w:hAnsi="Times New Roman" w:eastAsia="方正仿宋_GBK"/>
          <w:bCs w:val="0"/>
          <w:color w:val="auto"/>
          <w:szCs w:val="32"/>
          <w:highlight w:val="none"/>
          <w:lang w:eastAsia="zh-CN"/>
        </w:rPr>
        <w:t>）</w:t>
      </w:r>
    </w:p>
    <w:p w14:paraId="60E94291">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78" w:lineRule="exact"/>
        <w:ind w:firstLine="640" w:firstLineChars="200"/>
        <w:textAlignment w:val="auto"/>
        <w:rPr>
          <w:rFonts w:hint="eastAsia" w:ascii="Times New Roman" w:hAnsi="Times New Roman" w:eastAsia="方正仿宋_GBK"/>
          <w:bCs w:val="0"/>
          <w:color w:val="auto"/>
          <w:szCs w:val="32"/>
          <w:highlight w:val="none"/>
          <w:lang w:eastAsia="zh-CN"/>
        </w:rPr>
      </w:pPr>
      <w:r>
        <w:rPr>
          <w:rFonts w:hint="default" w:ascii="方正楷体_GBK" w:hAnsi="方正楷体_GBK" w:cs="方正楷体_GBK"/>
          <w:bCs w:val="0"/>
          <w:color w:val="auto"/>
          <w:szCs w:val="32"/>
          <w:highlight w:val="none"/>
        </w:rPr>
        <w:t>（三十三）压实多元协同环境监督管理责任</w:t>
      </w:r>
      <w:r>
        <w:rPr>
          <w:rFonts w:ascii="方正楷体_GBK" w:hAnsi="方正楷体_GBK" w:cs="方正楷体_GBK"/>
          <w:bCs w:val="0"/>
          <w:color w:val="auto"/>
          <w:szCs w:val="32"/>
          <w:highlight w:val="none"/>
        </w:rPr>
        <w:t>。</w:t>
      </w:r>
      <w:r>
        <w:rPr>
          <w:rFonts w:hint="default" w:ascii="Times New Roman" w:hAnsi="Times New Roman" w:eastAsia="方正仿宋_GBK"/>
          <w:bCs w:val="0"/>
          <w:color w:val="auto"/>
          <w:szCs w:val="32"/>
          <w:highlight w:val="none"/>
        </w:rPr>
        <w:t>落实各级党委、政府及领导干部生态环境保护责任，健全生态环境保护督察整改落实长效机制。落实美丽中国建设成效考核要求，</w:t>
      </w:r>
      <w:r>
        <w:rPr>
          <w:rFonts w:hint="default" w:ascii="Times New Roman" w:hAnsi="Times New Roman" w:eastAsia="方正仿宋_GBK"/>
          <w:bCs w:val="0"/>
          <w:color w:val="auto"/>
          <w:szCs w:val="32"/>
          <w:highlight w:val="none"/>
          <w:lang w:eastAsia="zh-CN"/>
        </w:rPr>
        <w:t>强化美丽白城建设成效在高质量绩效考核中的考核力度和结果应用，</w:t>
      </w:r>
      <w:r>
        <w:rPr>
          <w:rFonts w:hint="default" w:ascii="Times New Roman" w:hAnsi="Times New Roman" w:eastAsia="方正仿宋_GBK"/>
          <w:bCs w:val="0"/>
          <w:color w:val="auto"/>
          <w:szCs w:val="32"/>
          <w:highlight w:val="none"/>
        </w:rPr>
        <w:t>做好与污染防治攻坚战成效考核的过渡衔接。强化河湖长制、林长制、田长制“三长联动”作用。完善公众生态环境监督和举报反馈机制，及时解决群众急难愁盼问题。</w:t>
      </w:r>
      <w:r>
        <w:rPr>
          <w:rFonts w:hint="eastAsia" w:ascii="Times New Roman" w:hAnsi="Times New Roman" w:eastAsia="方正仿宋_GBK"/>
          <w:bCs w:val="0"/>
          <w:color w:val="auto"/>
          <w:szCs w:val="32"/>
          <w:highlight w:val="none"/>
          <w:lang w:eastAsia="zh-CN"/>
        </w:rPr>
        <w:t>（</w:t>
      </w:r>
      <w:r>
        <w:rPr>
          <w:rFonts w:hint="eastAsia" w:ascii="Times New Roman" w:hAnsi="Times New Roman" w:eastAsia="方正仿宋_GBK"/>
          <w:bCs w:val="0"/>
          <w:color w:val="auto"/>
          <w:szCs w:val="32"/>
          <w:highlight w:val="none"/>
          <w:lang w:val="en-US" w:eastAsia="zh-CN"/>
        </w:rPr>
        <w:t>市自然资源局、市生态环境局、市水利局、市林草局</w:t>
      </w:r>
      <w:r>
        <w:rPr>
          <w:rFonts w:hint="default" w:ascii="Times New Roman" w:hAnsi="Times New Roman" w:eastAsia="方正仿宋_GBK"/>
          <w:bCs w:val="0"/>
          <w:color w:val="auto"/>
          <w:szCs w:val="32"/>
          <w:highlight w:val="none"/>
        </w:rPr>
        <w:t>等部门按职责分工负责</w:t>
      </w:r>
      <w:r>
        <w:rPr>
          <w:rFonts w:hint="eastAsia" w:ascii="Times New Roman" w:hAnsi="Times New Roman" w:eastAsia="方正仿宋_GBK"/>
          <w:bCs w:val="0"/>
          <w:color w:val="auto"/>
          <w:szCs w:val="32"/>
          <w:highlight w:val="none"/>
          <w:lang w:eastAsia="zh-CN"/>
        </w:rPr>
        <w:t>）</w:t>
      </w:r>
    </w:p>
    <w:p w14:paraId="5FEFEE96">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78" w:lineRule="exact"/>
        <w:ind w:firstLine="640" w:firstLineChars="200"/>
        <w:textAlignment w:val="auto"/>
        <w:rPr>
          <w:rFonts w:hint="eastAsia" w:ascii="Times New Roman" w:hAnsi="Times New Roman" w:eastAsia="方正仿宋_GBK"/>
          <w:bCs w:val="0"/>
          <w:color w:val="auto"/>
          <w:szCs w:val="32"/>
          <w:highlight w:val="none"/>
          <w:lang w:eastAsia="zh-CN"/>
        </w:rPr>
      </w:pPr>
      <w:r>
        <w:rPr>
          <w:rFonts w:hint="default" w:ascii="方正楷体_GBK" w:hAnsi="方正楷体_GBK" w:cs="方正楷体_GBK"/>
          <w:bCs w:val="0"/>
          <w:color w:val="auto"/>
          <w:szCs w:val="32"/>
          <w:highlight w:val="none"/>
        </w:rPr>
        <w:t>（三十四）丰富生态环境市场激励政策工具</w:t>
      </w:r>
      <w:r>
        <w:rPr>
          <w:rFonts w:ascii="方正楷体_GBK" w:hAnsi="方正楷体_GBK" w:cs="方正楷体_GBK"/>
          <w:bCs w:val="0"/>
          <w:color w:val="auto"/>
          <w:szCs w:val="32"/>
          <w:highlight w:val="none"/>
        </w:rPr>
        <w:t>。</w:t>
      </w:r>
      <w:r>
        <w:rPr>
          <w:rFonts w:hint="default" w:ascii="Times New Roman" w:hAnsi="Times New Roman" w:eastAsia="方正仿宋_GBK"/>
          <w:bCs w:val="0"/>
          <w:color w:val="auto"/>
          <w:szCs w:val="32"/>
          <w:highlight w:val="none"/>
        </w:rPr>
        <w:t>深化环境信息依法披露制度改革，鼓励吉林梅花等龙头企业率先开展环境、社会和治理（ESG）信息披露。联合发改、金融、财政等部门，推动环境信用评价结果充分运用到融资授信、财政资金扶持、价格政策、评优评先等领域，落实守信激励、失信约束</w:t>
      </w:r>
      <w:r>
        <w:rPr>
          <w:rFonts w:hint="eastAsia" w:ascii="Times New Roman" w:hAnsi="Times New Roman" w:eastAsia="方正仿宋_GBK"/>
          <w:bCs w:val="0"/>
          <w:color w:val="auto"/>
          <w:szCs w:val="32"/>
          <w:highlight w:val="none"/>
          <w:lang w:eastAsia="zh-CN"/>
        </w:rPr>
        <w:t>。</w:t>
      </w:r>
      <w:r>
        <w:rPr>
          <w:rFonts w:hint="default" w:ascii="Times New Roman" w:hAnsi="Times New Roman" w:eastAsia="方正仿宋_GBK"/>
          <w:bCs w:val="0"/>
          <w:color w:val="auto"/>
          <w:szCs w:val="32"/>
          <w:highlight w:val="none"/>
        </w:rPr>
        <w:t>推动环境信用评价结果在融资授信、财政、资金、价格等领域应用。</w:t>
      </w:r>
      <w:r>
        <w:rPr>
          <w:rFonts w:hint="eastAsia" w:ascii="Times New Roman" w:hAnsi="Times New Roman" w:eastAsia="方正仿宋_GBK"/>
          <w:bCs w:val="0"/>
          <w:color w:val="auto"/>
          <w:szCs w:val="32"/>
          <w:highlight w:val="none"/>
          <w:lang w:val="en-US" w:eastAsia="zh-CN"/>
        </w:rPr>
        <w:t>鼓励</w:t>
      </w:r>
      <w:r>
        <w:rPr>
          <w:rFonts w:hint="default" w:ascii="Times New Roman" w:hAnsi="Times New Roman" w:eastAsia="方正仿宋_GBK"/>
          <w:bCs w:val="0"/>
          <w:color w:val="auto"/>
          <w:szCs w:val="32"/>
          <w:highlight w:val="none"/>
        </w:rPr>
        <w:t>气候投融资发展，持续推进企业绩效分级管理。推行有利于生态环境保护的农村畜禽粪污综合利用财政政策。整合生态环境保护相关资金，强化财政对美丽白城建设支持力度。</w:t>
      </w:r>
      <w:r>
        <w:rPr>
          <w:rFonts w:hint="eastAsia" w:ascii="Times New Roman" w:hAnsi="Times New Roman" w:eastAsia="方正仿宋_GBK"/>
          <w:bCs w:val="0"/>
          <w:color w:val="auto"/>
          <w:szCs w:val="32"/>
          <w:highlight w:val="none"/>
          <w:lang w:val="en-US" w:eastAsia="zh-CN"/>
        </w:rPr>
        <w:t>鼓励</w:t>
      </w:r>
      <w:r>
        <w:rPr>
          <w:rFonts w:hint="default" w:ascii="Times New Roman" w:hAnsi="Times New Roman" w:eastAsia="方正仿宋_GBK"/>
          <w:bCs w:val="0"/>
          <w:color w:val="auto"/>
          <w:szCs w:val="32"/>
          <w:highlight w:val="none"/>
        </w:rPr>
        <w:t>建立金融支持美丽白城建设项目库，</w:t>
      </w:r>
      <w:r>
        <w:rPr>
          <w:rFonts w:hint="eastAsia" w:ascii="Times New Roman" w:hAnsi="Times New Roman" w:eastAsia="方正仿宋_GBK"/>
          <w:bCs w:val="0"/>
          <w:color w:val="auto"/>
          <w:szCs w:val="32"/>
          <w:highlight w:val="none"/>
          <w:lang w:val="en-US" w:eastAsia="zh-CN"/>
        </w:rPr>
        <w:t>落实</w:t>
      </w:r>
      <w:r>
        <w:rPr>
          <w:rFonts w:hint="default" w:ascii="Times New Roman" w:hAnsi="Times New Roman" w:eastAsia="方正仿宋_GBK"/>
          <w:bCs w:val="0"/>
          <w:color w:val="auto"/>
          <w:szCs w:val="32"/>
          <w:highlight w:val="none"/>
        </w:rPr>
        <w:t>政银企融资协调机制，丰富绿色金融产品和服务。</w:t>
      </w:r>
      <w:r>
        <w:rPr>
          <w:rFonts w:hint="eastAsia" w:ascii="Times New Roman" w:hAnsi="Times New Roman" w:eastAsia="方正仿宋_GBK"/>
          <w:bCs w:val="0"/>
          <w:color w:val="auto"/>
          <w:szCs w:val="32"/>
          <w:highlight w:val="none"/>
          <w:lang w:eastAsia="zh-CN"/>
        </w:rPr>
        <w:t>（</w:t>
      </w:r>
      <w:r>
        <w:rPr>
          <w:rFonts w:hint="eastAsia" w:ascii="Times New Roman" w:hAnsi="Times New Roman" w:eastAsia="方正仿宋_GBK"/>
          <w:bCs w:val="0"/>
          <w:color w:val="auto"/>
          <w:szCs w:val="32"/>
          <w:highlight w:val="none"/>
          <w:lang w:val="en-US" w:eastAsia="zh-CN"/>
        </w:rPr>
        <w:t>市科技局、市财政局、市生态环境局、市畜牧局、人民银行白城市支行、金融监管总局白城分局</w:t>
      </w:r>
      <w:r>
        <w:rPr>
          <w:rFonts w:hint="default" w:ascii="Times New Roman" w:hAnsi="Times New Roman" w:eastAsia="方正仿宋_GBK"/>
          <w:bCs w:val="0"/>
          <w:color w:val="auto"/>
          <w:szCs w:val="32"/>
          <w:highlight w:val="none"/>
        </w:rPr>
        <w:t>等部门按职责分工负责</w:t>
      </w:r>
      <w:r>
        <w:rPr>
          <w:rFonts w:hint="eastAsia" w:ascii="Times New Roman" w:hAnsi="Times New Roman" w:eastAsia="方正仿宋_GBK"/>
          <w:bCs w:val="0"/>
          <w:color w:val="auto"/>
          <w:szCs w:val="32"/>
          <w:highlight w:val="none"/>
          <w:lang w:eastAsia="zh-CN"/>
        </w:rPr>
        <w:t>）</w:t>
      </w:r>
    </w:p>
    <w:p w14:paraId="6132E2E6">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78" w:lineRule="exact"/>
        <w:ind w:firstLine="640" w:firstLineChars="200"/>
        <w:textAlignment w:val="auto"/>
        <w:rPr>
          <w:rFonts w:hint="eastAsia" w:ascii="Times New Roman" w:hAnsi="Times New Roman" w:eastAsia="方正仿宋_GBK"/>
          <w:bCs w:val="0"/>
          <w:color w:val="auto"/>
          <w:szCs w:val="32"/>
          <w:highlight w:val="none"/>
          <w:lang w:eastAsia="zh-CN"/>
        </w:rPr>
      </w:pPr>
      <w:r>
        <w:rPr>
          <w:rFonts w:hint="default" w:ascii="方正楷体_GBK" w:hAnsi="方正楷体_GBK" w:cs="方正楷体_GBK"/>
          <w:bCs w:val="0"/>
          <w:color w:val="auto"/>
          <w:szCs w:val="32"/>
          <w:highlight w:val="none"/>
        </w:rPr>
        <w:t>（三十五）营造全社会绿色共建共享格局</w:t>
      </w:r>
      <w:r>
        <w:rPr>
          <w:rFonts w:ascii="方正楷体_GBK" w:hAnsi="方正楷体_GBK" w:cs="方正楷体_GBK"/>
          <w:bCs w:val="0"/>
          <w:color w:val="auto"/>
          <w:szCs w:val="32"/>
          <w:highlight w:val="none"/>
        </w:rPr>
        <w:t>。</w:t>
      </w:r>
      <w:r>
        <w:rPr>
          <w:rFonts w:hint="default" w:ascii="Times New Roman" w:hAnsi="Times New Roman" w:eastAsia="方正仿宋_GBK"/>
          <w:bCs w:val="0"/>
          <w:color w:val="auto"/>
          <w:szCs w:val="32"/>
          <w:highlight w:val="none"/>
        </w:rPr>
        <w:t>开展新能源汽车、绿色家电、绿色建材下乡活动。加强绿色产品认证与标识体系建设。健全绿色消费激励机制，拓展政府采购绿色产品范围和规模。围绕</w:t>
      </w:r>
      <w:r>
        <w:rPr>
          <w:rFonts w:hint="eastAsia" w:ascii="Times New Roman" w:hAnsi="Times New Roman" w:eastAsia="方正仿宋_GBK"/>
          <w:bCs w:val="0"/>
          <w:color w:val="auto"/>
          <w:szCs w:val="32"/>
          <w:highlight w:val="none"/>
          <w:lang w:eastAsia="zh-CN"/>
        </w:rPr>
        <w:t>“</w:t>
      </w:r>
      <w:r>
        <w:rPr>
          <w:rFonts w:hint="default" w:ascii="Times New Roman" w:hAnsi="Times New Roman" w:eastAsia="方正仿宋_GBK"/>
          <w:bCs w:val="0"/>
          <w:color w:val="auto"/>
          <w:szCs w:val="32"/>
          <w:highlight w:val="none"/>
        </w:rPr>
        <w:t>六五</w:t>
      </w:r>
      <w:r>
        <w:rPr>
          <w:rFonts w:hint="eastAsia" w:ascii="Times New Roman" w:hAnsi="Times New Roman" w:eastAsia="方正仿宋_GBK"/>
          <w:bCs w:val="0"/>
          <w:color w:val="auto"/>
          <w:szCs w:val="32"/>
          <w:highlight w:val="none"/>
          <w:lang w:eastAsia="zh-CN"/>
        </w:rPr>
        <w:t>”</w:t>
      </w:r>
      <w:r>
        <w:rPr>
          <w:rFonts w:hint="default" w:ascii="Times New Roman" w:hAnsi="Times New Roman" w:eastAsia="方正仿宋_GBK"/>
          <w:bCs w:val="0"/>
          <w:color w:val="auto"/>
          <w:szCs w:val="32"/>
          <w:highlight w:val="none"/>
        </w:rPr>
        <w:t>环境日、全国生态日等重要时间节点举办形式多样的主题宣传活动。推动开展碳普惠创新实践，积极探索碳普惠“白城模式”</w:t>
      </w:r>
      <w:r>
        <w:rPr>
          <w:rFonts w:hint="eastAsia" w:ascii="Times New Roman" w:hAnsi="Times New Roman" w:eastAsia="方正仿宋_GBK"/>
          <w:bCs w:val="0"/>
          <w:color w:val="auto"/>
          <w:szCs w:val="32"/>
          <w:highlight w:val="none"/>
          <w:lang w:eastAsia="zh-CN"/>
        </w:rPr>
        <w:t>，配合做好碳普惠政策科普解读，提升机关、企业、社会公众知晓度与参与度</w:t>
      </w:r>
      <w:r>
        <w:rPr>
          <w:rFonts w:hint="default" w:ascii="Times New Roman" w:hAnsi="Times New Roman" w:eastAsia="方正仿宋_GBK"/>
          <w:bCs w:val="0"/>
          <w:color w:val="auto"/>
          <w:szCs w:val="32"/>
          <w:highlight w:val="none"/>
        </w:rPr>
        <w:t>。积极推广绿色低碳生活方式，引导绿色出行、节约用水用电、推广“光盘行动”、减少一次性用品使用。</w:t>
      </w:r>
      <w:r>
        <w:rPr>
          <w:rFonts w:hint="eastAsia" w:ascii="Times New Roman" w:hAnsi="Times New Roman" w:eastAsia="方正仿宋_GBK"/>
          <w:bCs w:val="0"/>
          <w:color w:val="auto"/>
          <w:szCs w:val="32"/>
          <w:highlight w:val="none"/>
          <w:lang w:eastAsia="zh-CN"/>
        </w:rPr>
        <w:t>（</w:t>
      </w:r>
      <w:r>
        <w:rPr>
          <w:rFonts w:hint="eastAsia" w:ascii="Times New Roman" w:hAnsi="Times New Roman" w:eastAsia="方正仿宋_GBK"/>
          <w:bCs w:val="0"/>
          <w:color w:val="auto"/>
          <w:szCs w:val="32"/>
          <w:highlight w:val="none"/>
          <w:lang w:val="en-US" w:eastAsia="zh-CN"/>
        </w:rPr>
        <w:t>市发改委、市财政局、市工信局、市生态环境局、市商务局、市市场监管局</w:t>
      </w:r>
      <w:r>
        <w:rPr>
          <w:rFonts w:hint="default" w:ascii="Times New Roman" w:hAnsi="Times New Roman" w:eastAsia="方正仿宋_GBK"/>
          <w:bCs w:val="0"/>
          <w:color w:val="auto"/>
          <w:szCs w:val="32"/>
          <w:highlight w:val="none"/>
        </w:rPr>
        <w:t>等部门按职责分工负责</w:t>
      </w:r>
      <w:r>
        <w:rPr>
          <w:rFonts w:hint="eastAsia" w:ascii="Times New Roman" w:hAnsi="Times New Roman" w:eastAsia="方正仿宋_GBK"/>
          <w:bCs w:val="0"/>
          <w:color w:val="auto"/>
          <w:szCs w:val="32"/>
          <w:highlight w:val="none"/>
          <w:lang w:eastAsia="zh-CN"/>
        </w:rPr>
        <w:t>）</w:t>
      </w:r>
    </w:p>
    <w:p w14:paraId="3E7D9AE0">
      <w:pPr>
        <w:pStyle w:val="3"/>
        <w:keepNext w:val="0"/>
        <w:keepLines w:val="0"/>
        <w:pageBreakBefore w:val="0"/>
        <w:widowControl w:val="0"/>
        <w:kinsoku/>
        <w:wordWrap/>
        <w:overflowPunct/>
        <w:topLinePunct w:val="0"/>
        <w:autoSpaceDE/>
        <w:autoSpaceDN/>
        <w:bidi w:val="0"/>
        <w:adjustRightInd/>
        <w:snapToGrid/>
        <w:spacing w:before="0" w:after="0" w:line="578" w:lineRule="exact"/>
        <w:ind w:firstLine="640" w:firstLineChars="200"/>
        <w:jc w:val="left"/>
        <w:textAlignment w:val="auto"/>
        <w:rPr>
          <w:rFonts w:ascii="方正黑体_GBK" w:hAnsi="方正黑体_GBK" w:eastAsia="方正黑体_GBK" w:cs="方正黑体_GBK"/>
          <w:bCs w:val="0"/>
          <w:color w:val="auto"/>
          <w:highlight w:val="none"/>
        </w:rPr>
      </w:pPr>
      <w:bookmarkStart w:id="23" w:name="_Toc12576"/>
      <w:bookmarkStart w:id="24" w:name="_Toc25273"/>
      <w:r>
        <w:rPr>
          <w:rFonts w:hint="eastAsia" w:ascii="方正黑体_GBK" w:hAnsi="方正黑体_GBK" w:eastAsia="方正黑体_GBK" w:cs="方正黑体_GBK"/>
          <w:bCs w:val="0"/>
          <w:color w:val="auto"/>
          <w:highlight w:val="none"/>
        </w:rPr>
        <w:t>十、</w:t>
      </w:r>
      <w:bookmarkEnd w:id="23"/>
      <w:r>
        <w:rPr>
          <w:rFonts w:hint="eastAsia" w:ascii="方正黑体_GBK" w:hAnsi="方正黑体_GBK" w:eastAsia="方正黑体_GBK" w:cs="方正黑体_GBK"/>
          <w:bCs w:val="0"/>
          <w:color w:val="auto"/>
          <w:highlight w:val="none"/>
        </w:rPr>
        <w:t>强化统筹协调，确保规划任务落地见效</w:t>
      </w:r>
      <w:bookmarkEnd w:id="24"/>
    </w:p>
    <w:p w14:paraId="2A0EEE52">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eastAsia="方正仿宋_GBK"/>
          <w:color w:val="auto"/>
          <w:sz w:val="32"/>
          <w:szCs w:val="32"/>
          <w:highlight w:val="none"/>
        </w:rPr>
      </w:pPr>
      <w:r>
        <w:rPr>
          <w:rFonts w:eastAsia="方正仿宋_GBK"/>
          <w:color w:val="auto"/>
          <w:sz w:val="32"/>
          <w:szCs w:val="32"/>
          <w:highlight w:val="none"/>
        </w:rPr>
        <w:t>各地政府要切实扛起规划实施主体责任，细化落实目标任务，各相关部门按职责分工协同推进，将规划落实情况纳入各级各部门年度综合考核及领导班子、领导干部政绩考核重要内容，紧盯任务推进、项目实施、资金使用等关键环节，压实各级工作责任；生态环境部门牵头会同相关部门开展规划中期和总结评估，并充分结合巡察、审计、考核结果优化推进举措，同时加大美丽白城建设典型样板宣传推广力度，发挥示范引领作用；健全奖惩并举工作机制，各级财政部门持续加大生态环保投入、优化财政资源配置，保障建设任务落地，政策资金重点向工作扎实、成效突出的县（市、区）倾斜，对建设工作贡献突出的单位和个人按规定予以表彰，对巡察、审计、考核发现履职不力、推进滞后、整改不实的地区和单位依规约谈通报、追责问责，全方位保障规划落地见效。</w:t>
      </w:r>
    </w:p>
    <w:p w14:paraId="779489C0">
      <w:pPr>
        <w:spacing w:line="578" w:lineRule="exact"/>
        <w:rPr>
          <w:rFonts w:eastAsia="方正仿宋_GBK"/>
          <w:color w:val="auto"/>
          <w:sz w:val="32"/>
          <w:szCs w:val="32"/>
          <w:highlight w:val="none"/>
        </w:rPr>
      </w:pPr>
      <w:bookmarkStart w:id="25" w:name="_GoBack"/>
      <w:bookmarkEnd w:id="25"/>
    </w:p>
    <w:sectPr>
      <w:footerReference r:id="rId4" w:type="default"/>
      <w:pgSz w:w="11906" w:h="16838"/>
      <w:pgMar w:top="2041" w:right="1531" w:bottom="2041" w:left="1531" w:header="851" w:footer="992" w:gutter="0"/>
      <w:pgBorders>
        <w:top w:val="none" w:sz="0" w:space="0"/>
        <w:left w:val="none" w:sz="0" w:space="0"/>
        <w:bottom w:val="none" w:sz="0" w:space="0"/>
        <w:right w:val="none" w:sz="0" w:space="0"/>
      </w:pgBorders>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1" w:fontKey="{6E6C5DF2-B737-4CC4-823A-DD926ED0583C}"/>
  </w:font>
  <w:font w:name="方正黑体_GBK">
    <w:panose1 w:val="03000509000000000000"/>
    <w:charset w:val="86"/>
    <w:family w:val="script"/>
    <w:pitch w:val="default"/>
    <w:sig w:usb0="00000001" w:usb1="080E0000" w:usb2="00000000" w:usb3="00000000" w:csb0="00040000" w:csb1="00000000"/>
    <w:embedRegular r:id="rId2" w:fontKey="{1A84BEFD-3CCC-4695-9DE8-E88FBE593D7E}"/>
  </w:font>
  <w:font w:name="Calibri Light">
    <w:panose1 w:val="020F0302020204030204"/>
    <w:charset w:val="00"/>
    <w:family w:val="swiss"/>
    <w:pitch w:val="default"/>
    <w:sig w:usb0="E4002EFF" w:usb1="C000247B" w:usb2="00000009" w:usb3="00000000" w:csb0="200001FF" w:csb1="00000000"/>
  </w:font>
  <w:font w:name="方正楷体_GBK">
    <w:panose1 w:val="03000509000000000000"/>
    <w:charset w:val="86"/>
    <w:family w:val="script"/>
    <w:pitch w:val="default"/>
    <w:sig w:usb0="00000001" w:usb1="080E0000" w:usb2="00000000" w:usb3="00000000" w:csb0="00040000" w:csb1="00000000"/>
    <w:embedRegular r:id="rId3" w:fontKey="{EAD3A831-7893-46DE-BE9A-FA8043952AE1}"/>
  </w:font>
  <w:font w:name="楷体">
    <w:panose1 w:val="02010609060101010101"/>
    <w:charset w:val="86"/>
    <w:family w:val="modern"/>
    <w:pitch w:val="default"/>
    <w:sig w:usb0="800002BF" w:usb1="38CF7CFA" w:usb2="00000016" w:usb3="00000000" w:csb0="00040001" w:csb1="00000000"/>
    <w:embedRegular r:id="rId4" w:fontKey="{05D02E39-4194-4D82-8BDC-9733E145F908}"/>
  </w:font>
  <w:font w:name="方正小标宋_GBK">
    <w:panose1 w:val="03000509000000000000"/>
    <w:charset w:val="86"/>
    <w:family w:val="auto"/>
    <w:pitch w:val="default"/>
    <w:sig w:usb0="00000001" w:usb1="080E0000" w:usb2="00000000" w:usb3="00000000" w:csb0="00040000" w:csb1="00000000"/>
    <w:embedRegular r:id="rId5" w:fontKey="{BDD24337-B4D1-437E-B84C-44708C9C4AE5}"/>
  </w:font>
  <w:font w:name="方正仿宋_GBK">
    <w:panose1 w:val="03000509000000000000"/>
    <w:charset w:val="86"/>
    <w:family w:val="script"/>
    <w:pitch w:val="default"/>
    <w:sig w:usb0="00000001" w:usb1="080E0000" w:usb2="00000000" w:usb3="00000000" w:csb0="00040000" w:csb1="00000000"/>
    <w:embedRegular r:id="rId6" w:fontKey="{2E620E83-207D-4B05-8C68-D321DABC30F8}"/>
  </w:font>
  <w:font w:name="楷体_GB2312">
    <w:altName w:val="楷体"/>
    <w:panose1 w:val="02010609030101010101"/>
    <w:charset w:val="86"/>
    <w:family w:val="modern"/>
    <w:pitch w:val="default"/>
    <w:sig w:usb0="00000000" w:usb1="00000000" w:usb2="00000000" w:usb3="00000000" w:csb0="00040000" w:csb1="00000000"/>
    <w:embedRegular r:id="rId7" w:fontKey="{3034E01D-8FB2-4DCF-BA56-3A843D3C7516}"/>
  </w:font>
  <w:font w:name="仿宋_GB2312">
    <w:panose1 w:val="02010609030101010101"/>
    <w:charset w:val="86"/>
    <w:family w:val="auto"/>
    <w:pitch w:val="default"/>
    <w:sig w:usb0="00000001" w:usb1="080E0000" w:usb2="00000000" w:usb3="00000000" w:csb0="00040000" w:csb1="00000000"/>
    <w:embedRegular r:id="rId8" w:fontKey="{A3A667DF-9BFB-45FE-B6C8-01F0268513F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5C913">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4F3D9E">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7BABD632">
                          <w:pPr>
                            <w:pStyle w:val="7"/>
                            <w:rPr>
                              <w:sz w:val="24"/>
                              <w:szCs w:val="24"/>
                            </w:rPr>
                          </w:pPr>
                          <w:r>
                            <w:rPr>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16</w:t>
                          </w:r>
                          <w:r>
                            <w:rPr>
                              <w:sz w:val="24"/>
                              <w:szCs w:val="24"/>
                            </w:rPr>
                            <w:fldChar w:fldCharType="end"/>
                          </w:r>
                          <w:r>
                            <w:rPr>
                              <w:sz w:val="24"/>
                              <w:szCs w:val="24"/>
                            </w:rPr>
                            <w:t xml:space="preserve"> —</w:t>
                          </w:r>
                        </w:p>
                      </w:txbxContent>
                    </wps:txbx>
                    <wps:bodyPr vert="horz" wrap="none" lIns="0" tIns="0" rIns="0" bIns="0" anchor="t" anchorCtr="0" upright="0">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OqXm5zwAAAAUBAAAPAAAAAAAA&#10;AAEAIAAAACIAAABkcnMvZG93bnJldi54bWxQSwECFAAUAAAACACHTuJA8DQvxOIBAADMAwAADgAA&#10;AAAAAAABACAAAAAeAQAAZHJzL2Uyb0RvYy54bWxQSwUGAAAAAAYABgBZAQAAcgUAAAAA&#10;">
              <v:fill on="f" focussize="0,0"/>
              <v:stroke on="f"/>
              <v:imagedata o:title=""/>
              <o:lock v:ext="edit" aspectratio="f"/>
              <v:textbox inset="0mm,0mm,0mm,0mm" style="mso-fit-shape-to-text:t;">
                <w:txbxContent>
                  <w:p w14:paraId="7BABD632">
                    <w:pPr>
                      <w:pStyle w:val="7"/>
                      <w:rPr>
                        <w:sz w:val="24"/>
                        <w:szCs w:val="24"/>
                      </w:rPr>
                    </w:pPr>
                    <w:r>
                      <w:rPr>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16</w:t>
                    </w:r>
                    <w:r>
                      <w:rPr>
                        <w:sz w:val="24"/>
                        <w:szCs w:val="24"/>
                      </w:rPr>
                      <w:fldChar w:fldCharType="end"/>
                    </w:r>
                    <w:r>
                      <w:rPr>
                        <w:sz w:val="24"/>
                        <w:szCs w:val="24"/>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5B7FF6"/>
    <w:rsid w:val="008B432A"/>
    <w:rsid w:val="00BB62CD"/>
    <w:rsid w:val="00CA2422"/>
    <w:rsid w:val="00D23CF3"/>
    <w:rsid w:val="00D63ED4"/>
    <w:rsid w:val="02226FAC"/>
    <w:rsid w:val="03AE1BC9"/>
    <w:rsid w:val="04680FF0"/>
    <w:rsid w:val="051139B5"/>
    <w:rsid w:val="063127B9"/>
    <w:rsid w:val="06B33349"/>
    <w:rsid w:val="07FD1D32"/>
    <w:rsid w:val="084E7652"/>
    <w:rsid w:val="08DF3F4A"/>
    <w:rsid w:val="09460264"/>
    <w:rsid w:val="0DA90BC2"/>
    <w:rsid w:val="0DD979BE"/>
    <w:rsid w:val="0E0A0266"/>
    <w:rsid w:val="0E8C2C83"/>
    <w:rsid w:val="0F8D2679"/>
    <w:rsid w:val="10AC2880"/>
    <w:rsid w:val="11A63AC3"/>
    <w:rsid w:val="11D80877"/>
    <w:rsid w:val="126A7E2F"/>
    <w:rsid w:val="1297256E"/>
    <w:rsid w:val="12CE0840"/>
    <w:rsid w:val="135E1D41"/>
    <w:rsid w:val="13EC0D8A"/>
    <w:rsid w:val="15791A87"/>
    <w:rsid w:val="161D03CE"/>
    <w:rsid w:val="161D1B33"/>
    <w:rsid w:val="17836BED"/>
    <w:rsid w:val="18BC353D"/>
    <w:rsid w:val="18F24700"/>
    <w:rsid w:val="19CF0D69"/>
    <w:rsid w:val="1A0D2DDC"/>
    <w:rsid w:val="1C4050AC"/>
    <w:rsid w:val="1D445DB4"/>
    <w:rsid w:val="1D6152DA"/>
    <w:rsid w:val="1DFF50CC"/>
    <w:rsid w:val="1E6C525C"/>
    <w:rsid w:val="216E216E"/>
    <w:rsid w:val="21812660"/>
    <w:rsid w:val="21CB5418"/>
    <w:rsid w:val="221200F3"/>
    <w:rsid w:val="2312111A"/>
    <w:rsid w:val="25A91DF2"/>
    <w:rsid w:val="261369C6"/>
    <w:rsid w:val="28237769"/>
    <w:rsid w:val="282825E9"/>
    <w:rsid w:val="295F55E0"/>
    <w:rsid w:val="29D60DFE"/>
    <w:rsid w:val="2C2A5D6C"/>
    <w:rsid w:val="2CEE1C07"/>
    <w:rsid w:val="2DD54FC4"/>
    <w:rsid w:val="2EDD1050"/>
    <w:rsid w:val="2EDD5D3A"/>
    <w:rsid w:val="2F451AD1"/>
    <w:rsid w:val="2F972DDE"/>
    <w:rsid w:val="30143F92"/>
    <w:rsid w:val="30BF1F3B"/>
    <w:rsid w:val="311E685B"/>
    <w:rsid w:val="327A304B"/>
    <w:rsid w:val="33306847"/>
    <w:rsid w:val="352E69D5"/>
    <w:rsid w:val="36590DED"/>
    <w:rsid w:val="36C97789"/>
    <w:rsid w:val="36CA558E"/>
    <w:rsid w:val="36D37A50"/>
    <w:rsid w:val="372E2FDC"/>
    <w:rsid w:val="3A086DB2"/>
    <w:rsid w:val="3BFE18EE"/>
    <w:rsid w:val="3C5966E7"/>
    <w:rsid w:val="3DBE5DA7"/>
    <w:rsid w:val="3DC1052B"/>
    <w:rsid w:val="3E23065E"/>
    <w:rsid w:val="3EC152FF"/>
    <w:rsid w:val="3F866E8F"/>
    <w:rsid w:val="3F8D1102"/>
    <w:rsid w:val="3FB70788"/>
    <w:rsid w:val="3FCA68B7"/>
    <w:rsid w:val="4118147F"/>
    <w:rsid w:val="420267DC"/>
    <w:rsid w:val="43133BA8"/>
    <w:rsid w:val="4374169B"/>
    <w:rsid w:val="44E60B77"/>
    <w:rsid w:val="46232DCE"/>
    <w:rsid w:val="46FB6763"/>
    <w:rsid w:val="47304D3B"/>
    <w:rsid w:val="47356D0C"/>
    <w:rsid w:val="48744E7F"/>
    <w:rsid w:val="498A5A84"/>
    <w:rsid w:val="4BDC1E4C"/>
    <w:rsid w:val="4CAC1C5D"/>
    <w:rsid w:val="4D8E1889"/>
    <w:rsid w:val="4D950505"/>
    <w:rsid w:val="4DF92C12"/>
    <w:rsid w:val="4F5368C9"/>
    <w:rsid w:val="50202421"/>
    <w:rsid w:val="50426C4C"/>
    <w:rsid w:val="51762C1F"/>
    <w:rsid w:val="51E87DBA"/>
    <w:rsid w:val="53E66C1A"/>
    <w:rsid w:val="54CE3282"/>
    <w:rsid w:val="54E0147B"/>
    <w:rsid w:val="55E4027B"/>
    <w:rsid w:val="57161D4B"/>
    <w:rsid w:val="572843B1"/>
    <w:rsid w:val="57A1497C"/>
    <w:rsid w:val="58B53DC9"/>
    <w:rsid w:val="590F4F07"/>
    <w:rsid w:val="5A696FA1"/>
    <w:rsid w:val="5C4260EC"/>
    <w:rsid w:val="5CE76F8F"/>
    <w:rsid w:val="5D647EF4"/>
    <w:rsid w:val="5E1E4546"/>
    <w:rsid w:val="5EFC4F46"/>
    <w:rsid w:val="5F2241A5"/>
    <w:rsid w:val="5F5A15AE"/>
    <w:rsid w:val="5F777E2D"/>
    <w:rsid w:val="6027002A"/>
    <w:rsid w:val="62365490"/>
    <w:rsid w:val="624C78D4"/>
    <w:rsid w:val="6566762F"/>
    <w:rsid w:val="68140852"/>
    <w:rsid w:val="68DC3034"/>
    <w:rsid w:val="6A9C42B2"/>
    <w:rsid w:val="6D7F2590"/>
    <w:rsid w:val="6D8F4B19"/>
    <w:rsid w:val="6DD61B41"/>
    <w:rsid w:val="6E1034BA"/>
    <w:rsid w:val="6E2F12D6"/>
    <w:rsid w:val="6EB26D11"/>
    <w:rsid w:val="6EF641EE"/>
    <w:rsid w:val="6F8E44F9"/>
    <w:rsid w:val="70D51FC2"/>
    <w:rsid w:val="718B3849"/>
    <w:rsid w:val="73CA3FAB"/>
    <w:rsid w:val="73F43927"/>
    <w:rsid w:val="740179EC"/>
    <w:rsid w:val="74EE323A"/>
    <w:rsid w:val="756B5E6B"/>
    <w:rsid w:val="757F2254"/>
    <w:rsid w:val="75B362F7"/>
    <w:rsid w:val="77134B2A"/>
    <w:rsid w:val="778074A8"/>
    <w:rsid w:val="77A41EAE"/>
    <w:rsid w:val="78126A72"/>
    <w:rsid w:val="78BB148E"/>
    <w:rsid w:val="7AD4701B"/>
    <w:rsid w:val="7B1A7159"/>
    <w:rsid w:val="7B1A7F06"/>
    <w:rsid w:val="7C9D43CB"/>
    <w:rsid w:val="7CF709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 w:cs="Times New Roman"/>
      <w:snapToGrid w:val="0"/>
      <w:sz w:val="30"/>
      <w:szCs w:val="30"/>
      <w:lang w:val="en-US" w:eastAsia="zh-CN" w:bidi="ar-SA"/>
    </w:rPr>
  </w:style>
  <w:style w:type="paragraph" w:styleId="2">
    <w:name w:val="heading 1"/>
    <w:basedOn w:val="1"/>
    <w:next w:val="1"/>
    <w:qFormat/>
    <w:uiPriority w:val="9"/>
    <w:pPr>
      <w:keepNext/>
      <w:keepLines/>
      <w:spacing w:before="120" w:after="120" w:line="360" w:lineRule="auto"/>
      <w:outlineLvl w:val="0"/>
    </w:pPr>
    <w:rPr>
      <w:rFonts w:eastAsia="方正黑体_GBK"/>
      <w:bCs/>
      <w:kern w:val="44"/>
      <w:sz w:val="32"/>
      <w:szCs w:val="44"/>
    </w:rPr>
  </w:style>
  <w:style w:type="paragraph" w:styleId="3">
    <w:name w:val="heading 2"/>
    <w:basedOn w:val="1"/>
    <w:next w:val="1"/>
    <w:qFormat/>
    <w:uiPriority w:val="9"/>
    <w:pPr>
      <w:keepNext/>
      <w:keepLines/>
      <w:spacing w:before="260" w:after="260" w:line="416" w:lineRule="auto"/>
      <w:outlineLvl w:val="1"/>
    </w:pPr>
    <w:rPr>
      <w:rFonts w:ascii="Calibri Light" w:hAnsi="Calibri Light" w:eastAsia="方正楷体_GBK"/>
      <w:bCs/>
      <w:sz w:val="32"/>
      <w:szCs w:val="32"/>
    </w:rPr>
  </w:style>
  <w:style w:type="paragraph" w:styleId="4">
    <w:name w:val="heading 3"/>
    <w:basedOn w:val="1"/>
    <w:next w:val="1"/>
    <w:unhideWhenUsed/>
    <w:qFormat/>
    <w:uiPriority w:val="0"/>
    <w:pPr>
      <w:spacing w:before="100" w:beforeAutospacing="1" w:after="100" w:afterAutospacing="1"/>
      <w:jc w:val="left"/>
      <w:outlineLvl w:val="2"/>
    </w:pPr>
    <w:rPr>
      <w:rFonts w:hint="eastAsia" w:ascii="宋体" w:hAnsi="宋体" w:eastAsia="方正楷体_GBK"/>
      <w:bCs/>
      <w:sz w:val="32"/>
      <w:szCs w:val="27"/>
    </w:rPr>
  </w:style>
  <w:style w:type="paragraph" w:styleId="5">
    <w:name w:val="heading 4"/>
    <w:basedOn w:val="1"/>
    <w:next w:val="1"/>
    <w:unhideWhenUsed/>
    <w:qFormat/>
    <w:uiPriority w:val="0"/>
    <w:pPr>
      <w:spacing w:before="100" w:beforeAutospacing="1" w:after="100" w:afterAutospacing="1"/>
      <w:jc w:val="left"/>
      <w:outlineLvl w:val="3"/>
    </w:pPr>
    <w:rPr>
      <w:rFonts w:hint="eastAsia" w:ascii="宋体" w:hAnsi="宋体" w:eastAsia="宋体"/>
      <w:b/>
      <w:bCs/>
      <w:sz w:val="24"/>
      <w:szCs w:val="24"/>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qFormat/>
    <w:uiPriority w:val="0"/>
    <w:pPr>
      <w:jc w:val="left"/>
    </w:pPr>
  </w:style>
  <w:style w:type="paragraph" w:styleId="7">
    <w:name w:val="footer"/>
    <w:basedOn w:val="1"/>
    <w:link w:val="16"/>
    <w:unhideWhenUsed/>
    <w:qFormat/>
    <w:uiPriority w:val="99"/>
    <w:pPr>
      <w:tabs>
        <w:tab w:val="center" w:pos="4153"/>
        <w:tab w:val="right" w:pos="8306"/>
      </w:tabs>
      <w:snapToGrid w:val="0"/>
      <w:jc w:val="left"/>
    </w:pPr>
    <w:rPr>
      <w:sz w:val="18"/>
    </w:rPr>
  </w:style>
  <w:style w:type="paragraph" w:styleId="8">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toc 1"/>
    <w:basedOn w:val="1"/>
    <w:next w:val="1"/>
    <w:qFormat/>
    <w:uiPriority w:val="0"/>
  </w:style>
  <w:style w:type="paragraph" w:styleId="10">
    <w:name w:val="toc 2"/>
    <w:basedOn w:val="1"/>
    <w:next w:val="1"/>
    <w:qFormat/>
    <w:uiPriority w:val="0"/>
    <w:pPr>
      <w:ind w:left="420" w:leftChars="200"/>
    </w:pPr>
  </w:style>
  <w:style w:type="paragraph" w:styleId="11">
    <w:name w:val="Normal (Web)"/>
    <w:basedOn w:val="1"/>
    <w:qFormat/>
    <w:uiPriority w:val="0"/>
    <w:pPr>
      <w:spacing w:before="100" w:beforeAutospacing="1" w:after="100" w:afterAutospacing="1"/>
      <w:jc w:val="left"/>
    </w:pPr>
    <w:rPr>
      <w:sz w:val="24"/>
    </w:rPr>
  </w:style>
  <w:style w:type="table" w:styleId="13">
    <w:name w:val="Table Grid"/>
    <w:basedOn w:val="12"/>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Strong"/>
    <w:basedOn w:val="14"/>
    <w:qFormat/>
    <w:uiPriority w:val="0"/>
    <w:rPr>
      <w:b/>
    </w:rPr>
  </w:style>
  <w:style w:type="character" w:customStyle="1" w:styleId="16">
    <w:name w:val="页脚 Char"/>
    <w:link w:val="7"/>
    <w:qFormat/>
    <w:uiPriority w:val="0"/>
    <w:rPr>
      <w:sz w:val="18"/>
    </w:rPr>
  </w:style>
  <w:style w:type="character" w:customStyle="1" w:styleId="17">
    <w:name w:val="页眉 Char"/>
    <w:link w:val="8"/>
    <w:qFormat/>
    <w:uiPriority w:val="0"/>
    <w:rPr>
      <w:sz w:val="18"/>
    </w:rPr>
  </w:style>
  <w:style w:type="paragraph" w:customStyle="1" w:styleId="18">
    <w:name w:val="内容块-28-a"/>
    <w:basedOn w:val="1"/>
    <w:next w:val="1"/>
    <w:qFormat/>
    <w:uiPriority w:val="0"/>
    <w:pPr>
      <w:pBdr>
        <w:top w:val="single" w:color="7E7E7E" w:sz="4" w:space="10"/>
        <w:left w:val="single" w:color="7E7E7E" w:sz="4" w:space="16"/>
        <w:bottom w:val="single" w:color="7E7E7E" w:sz="4" w:space="10"/>
        <w:right w:val="single" w:color="7E7E7E" w:sz="4" w:space="16"/>
      </w:pBdr>
      <w:ind w:left="357" w:right="357"/>
      <w:textAlignment w:val="center"/>
    </w:pPr>
    <w:rPr>
      <w:szCs w:val="21"/>
    </w:rPr>
  </w:style>
  <w:style w:type="table" w:customStyle="1" w:styleId="19">
    <w:name w:val="Table Normal"/>
    <w:unhideWhenUsed/>
    <w:qFormat/>
    <w:uiPriority w:val="0"/>
    <w:tblPr>
      <w:tblCellMar>
        <w:top w:w="0" w:type="dxa"/>
        <w:left w:w="0" w:type="dxa"/>
        <w:bottom w:w="0" w:type="dxa"/>
        <w:right w:w="0" w:type="dxa"/>
      </w:tblCellMar>
    </w:tblPr>
  </w:style>
  <w:style w:type="paragraph" w:customStyle="1" w:styleId="20">
    <w:name w:val="Table Text"/>
    <w:basedOn w:val="1"/>
    <w:semiHidden/>
    <w:qFormat/>
    <w:uiPriority w:val="0"/>
    <w:rPr>
      <w:rFonts w:ascii="楷体" w:hAnsi="楷体" w:eastAsia="楷体" w:cs="楷体"/>
      <w:sz w:val="24"/>
      <w:szCs w:val="24"/>
      <w:lang w:eastAsia="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MS</Company>
  <Pages>22</Pages>
  <Words>34</Words>
  <Characters>34</Characters>
  <Lines>89</Lines>
  <Paragraphs>25</Paragraphs>
  <TotalTime>9</TotalTime>
  <ScaleCrop>false</ScaleCrop>
  <LinksUpToDate>false</LinksUpToDate>
  <CharactersWithSpaces>36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2026-01-05T08:43:00Z</dcterms:created>
  <dc:creator>Administrator</dc:creator>
  <cp:lastModifiedBy>倾木</cp:lastModifiedBy>
  <cp:lastPrinted>2026-09-09T05:53:00Z</cp:lastPrinted>
  <dcterms:modified xsi:type="dcterms:W3CDTF">2026-10-21T03:20:02Z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eyJoZGlkIjoiNGQ2ZTYwOTI3Y2YyNTIwZWU0ZGZlYzQxNTAyODZkYzUiLCJ1c2VySWQiOiIyOTg3MjU5NDAifQ==</vt:lpwstr>
  </property>
  <property fmtid="{D5CDD505-2E9C-101B-9397-08002B2CF9AE}" pid="4" name="ICV">
    <vt:lpwstr>7BB21D8A99F6430E921F1CEBCED03F1A_13</vt:lpwstr>
  </property>
</Properties>
</file>